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81620">
      <w:pPr>
        <w:rPr>
          <w:rFonts w:ascii="黑体" w:hAnsi="宋体" w:eastAsia="黑体"/>
          <w:sz w:val="32"/>
          <w:szCs w:val="32"/>
        </w:rPr>
      </w:pPr>
      <w:bookmarkStart w:id="33" w:name="_GoBack"/>
      <w:bookmarkEnd w:id="33"/>
      <w:r>
        <w:rPr>
          <w:rFonts w:hint="eastAsia" w:ascii="黑体" w:hAnsi="宋体" w:eastAsia="黑体"/>
          <w:sz w:val="32"/>
          <w:szCs w:val="32"/>
        </w:rPr>
        <w:t>附件2</w:t>
      </w:r>
    </w:p>
    <w:p w14:paraId="5318B673">
      <w:pPr>
        <w:rPr>
          <w:rFonts w:ascii="黑体" w:hAnsi="宋体" w:eastAsia="黑体"/>
          <w:sz w:val="32"/>
          <w:szCs w:val="32"/>
        </w:rPr>
      </w:pPr>
    </w:p>
    <w:p w14:paraId="36268827">
      <w:pPr>
        <w:rPr>
          <w:rFonts w:ascii="黑体" w:hAnsi="宋体" w:eastAsia="黑体"/>
          <w:sz w:val="32"/>
          <w:szCs w:val="32"/>
        </w:rPr>
      </w:pPr>
    </w:p>
    <w:p w14:paraId="350CCF69">
      <w:pPr>
        <w:snapToGrid/>
        <w:spacing w:before="208" w:line="298" w:lineRule="auto"/>
        <w:jc w:val="center"/>
        <w:rPr>
          <w:color w:val="auto"/>
        </w:rPr>
      </w:pPr>
      <w:r>
        <w:rPr>
          <w:rFonts w:ascii="方正小标宋_GBK" w:hAnsi="方正小标宋_GBK" w:eastAsia="方正小标宋_GBK" w:cs="方正小标宋_GBK"/>
          <w:color w:val="auto"/>
          <w:spacing w:val="-2"/>
          <w:sz w:val="44"/>
        </w:rPr>
        <w:t>第</w:t>
      </w:r>
      <w:r>
        <w:rPr>
          <w:rFonts w:hint="eastAsia" w:ascii="方正小标宋_GBK" w:hAnsi="方正小标宋_GBK" w:eastAsia="方正小标宋_GBK" w:cs="方正小标宋_GBK"/>
          <w:color w:val="auto"/>
          <w:spacing w:val="-2"/>
          <w:sz w:val="44"/>
        </w:rPr>
        <w:t>三</w:t>
      </w:r>
      <w:r>
        <w:rPr>
          <w:rFonts w:ascii="方正小标宋_GBK" w:hAnsi="方正小标宋_GBK" w:eastAsia="方正小标宋_GBK" w:cs="方正小标宋_GBK"/>
          <w:color w:val="auto"/>
          <w:spacing w:val="-2"/>
          <w:sz w:val="44"/>
        </w:rPr>
        <w:t>届“强国杯”大赛</w:t>
      </w:r>
    </w:p>
    <w:p w14:paraId="59C19F8A">
      <w:pPr>
        <w:snapToGrid/>
        <w:spacing w:before="208" w:line="298" w:lineRule="auto"/>
        <w:jc w:val="center"/>
        <w:rPr>
          <w:color w:val="auto"/>
        </w:rPr>
      </w:pPr>
      <w:r>
        <w:rPr>
          <w:rFonts w:ascii="方正小标宋_GBK" w:hAnsi="方正小标宋_GBK" w:eastAsia="方正小标宋_GBK" w:cs="方正小标宋_GBK"/>
          <w:color w:val="auto"/>
          <w:sz w:val="44"/>
        </w:rPr>
        <w:t>——工业大数据管理与分析赛项</w:t>
      </w:r>
    </w:p>
    <w:p w14:paraId="79AC2E6E">
      <w:pPr>
        <w:snapToGrid/>
        <w:rPr>
          <w:color w:val="auto"/>
        </w:rPr>
      </w:pPr>
      <w:r>
        <w:rPr>
          <w:rFonts w:ascii="Malgun Gothic" w:hAnsi="Malgun Gothic" w:eastAsia="Malgun Gothic" w:cs="Malgun Gothic"/>
          <w:color w:val="auto"/>
          <w:sz w:val="21"/>
        </w:rPr>
        <w:t> </w:t>
      </w:r>
    </w:p>
    <w:p w14:paraId="36655F6F">
      <w:pPr>
        <w:snapToGrid/>
        <w:rPr>
          <w:color w:val="auto"/>
        </w:rPr>
      </w:pPr>
      <w:r>
        <w:rPr>
          <w:rFonts w:ascii="Malgun Gothic" w:hAnsi="Malgun Gothic" w:eastAsia="Malgun Gothic" w:cs="Malgun Gothic"/>
          <w:color w:val="auto"/>
          <w:sz w:val="21"/>
        </w:rPr>
        <w:t> </w:t>
      </w:r>
    </w:p>
    <w:p w14:paraId="0DDBA7E1">
      <w:pPr>
        <w:snapToGrid/>
        <w:rPr>
          <w:rFonts w:ascii="Malgun Gothic" w:hAnsi="Malgun Gothic" w:eastAsia="Malgun Gothic" w:cs="Malgun Gothic"/>
          <w:color w:val="auto"/>
          <w:sz w:val="21"/>
        </w:rPr>
      </w:pPr>
      <w:r>
        <w:rPr>
          <w:rFonts w:ascii="Malgun Gothic" w:hAnsi="Malgun Gothic" w:eastAsia="Malgun Gothic" w:cs="Malgun Gothic"/>
          <w:color w:val="auto"/>
          <w:sz w:val="21"/>
        </w:rPr>
        <w:t> </w:t>
      </w:r>
    </w:p>
    <w:p w14:paraId="6F340320">
      <w:pPr>
        <w:snapToGrid/>
        <w:rPr>
          <w:color w:val="auto"/>
        </w:rPr>
      </w:pPr>
    </w:p>
    <w:p w14:paraId="4B5E7C30">
      <w:pPr>
        <w:snapToGrid/>
        <w:spacing w:before="311" w:line="218" w:lineRule="auto"/>
        <w:ind w:firstLine="3988"/>
        <w:rPr>
          <w:color w:val="auto"/>
        </w:rPr>
      </w:pPr>
      <w:r>
        <w:rPr>
          <w:rFonts w:ascii="方正小标宋_GBK" w:hAnsi="方正小标宋_GBK" w:eastAsia="方正小标宋_GBK" w:cs="方正小标宋_GBK"/>
          <w:color w:val="auto"/>
          <w:sz w:val="72"/>
        </w:rPr>
        <w:t>技</w:t>
      </w:r>
    </w:p>
    <w:p w14:paraId="3D034169">
      <w:pPr>
        <w:snapToGrid/>
        <w:spacing w:before="2" w:line="204" w:lineRule="auto"/>
        <w:ind w:firstLine="3985"/>
        <w:rPr>
          <w:color w:val="auto"/>
        </w:rPr>
      </w:pPr>
      <w:r>
        <w:rPr>
          <w:rFonts w:ascii="方正小标宋_GBK" w:hAnsi="方正小标宋_GBK" w:eastAsia="方正小标宋_GBK" w:cs="方正小标宋_GBK"/>
          <w:color w:val="auto"/>
          <w:sz w:val="72"/>
        </w:rPr>
        <w:t>术</w:t>
      </w:r>
    </w:p>
    <w:p w14:paraId="40FB31BF">
      <w:pPr>
        <w:snapToGrid/>
        <w:spacing w:before="114" w:line="180" w:lineRule="auto"/>
        <w:ind w:firstLine="3990"/>
        <w:rPr>
          <w:color w:val="auto"/>
        </w:rPr>
      </w:pPr>
      <w:r>
        <w:rPr>
          <w:rFonts w:ascii="方正小标宋_GBK" w:hAnsi="方正小标宋_GBK" w:eastAsia="方正小标宋_GBK" w:cs="方正小标宋_GBK"/>
          <w:color w:val="auto"/>
          <w:sz w:val="72"/>
        </w:rPr>
        <w:t>方</w:t>
      </w:r>
    </w:p>
    <w:p w14:paraId="0A7901EC">
      <w:pPr>
        <w:snapToGrid/>
        <w:spacing w:before="197" w:line="180" w:lineRule="auto"/>
        <w:ind w:firstLine="3985"/>
        <w:rPr>
          <w:color w:val="auto"/>
        </w:rPr>
      </w:pPr>
      <w:r>
        <w:rPr>
          <w:rFonts w:ascii="方正小标宋_GBK" w:hAnsi="方正小标宋_GBK" w:eastAsia="方正小标宋_GBK" w:cs="方正小标宋_GBK"/>
          <w:color w:val="auto"/>
          <w:sz w:val="72"/>
        </w:rPr>
        <w:t>案</w:t>
      </w:r>
    </w:p>
    <w:p w14:paraId="7B4108DF">
      <w:pPr>
        <w:snapToGrid/>
        <w:spacing w:line="262" w:lineRule="auto"/>
        <w:rPr>
          <w:color w:val="auto"/>
        </w:rPr>
      </w:pPr>
      <w:r>
        <w:rPr>
          <w:rFonts w:ascii="Malgun Gothic" w:hAnsi="Malgun Gothic" w:eastAsia="Malgun Gothic" w:cs="Malgun Gothic"/>
          <w:color w:val="auto"/>
          <w:sz w:val="21"/>
        </w:rPr>
        <w:t> </w:t>
      </w:r>
    </w:p>
    <w:p w14:paraId="1774C9E4">
      <w:pPr>
        <w:snapToGrid/>
        <w:spacing w:line="262" w:lineRule="auto"/>
        <w:rPr>
          <w:color w:val="auto"/>
        </w:rPr>
      </w:pPr>
      <w:r>
        <w:rPr>
          <w:rFonts w:ascii="Malgun Gothic" w:hAnsi="Malgun Gothic" w:eastAsia="Malgun Gothic" w:cs="Malgun Gothic"/>
          <w:color w:val="auto"/>
          <w:sz w:val="21"/>
        </w:rPr>
        <w:t> </w:t>
      </w:r>
    </w:p>
    <w:p w14:paraId="3619C834">
      <w:pPr>
        <w:snapToGrid/>
        <w:spacing w:line="262" w:lineRule="auto"/>
        <w:rPr>
          <w:rFonts w:ascii="Malgun Gothic" w:hAnsi="Malgun Gothic" w:eastAsia="Malgun Gothic" w:cs="Malgun Gothic"/>
          <w:color w:val="auto"/>
          <w:sz w:val="21"/>
        </w:rPr>
      </w:pPr>
      <w:r>
        <w:rPr>
          <w:rFonts w:ascii="Malgun Gothic" w:hAnsi="Malgun Gothic" w:eastAsia="Malgun Gothic" w:cs="Malgun Gothic"/>
          <w:color w:val="auto"/>
          <w:sz w:val="21"/>
        </w:rPr>
        <w:t> </w:t>
      </w:r>
    </w:p>
    <w:p w14:paraId="055CE847">
      <w:pPr>
        <w:snapToGrid/>
        <w:spacing w:line="262" w:lineRule="auto"/>
        <w:rPr>
          <w:rFonts w:ascii="Malgun Gothic" w:hAnsi="Malgun Gothic" w:eastAsia="Malgun Gothic" w:cs="Malgun Gothic"/>
          <w:color w:val="auto"/>
          <w:sz w:val="21"/>
        </w:rPr>
      </w:pPr>
    </w:p>
    <w:p w14:paraId="2F83FB2F">
      <w:pPr>
        <w:snapToGrid/>
        <w:spacing w:line="262" w:lineRule="auto"/>
        <w:rPr>
          <w:rFonts w:ascii="Malgun Gothic" w:hAnsi="Malgun Gothic" w:eastAsia="Malgun Gothic" w:cs="Malgun Gothic"/>
          <w:color w:val="auto"/>
          <w:sz w:val="21"/>
        </w:rPr>
      </w:pPr>
    </w:p>
    <w:p w14:paraId="022E674A">
      <w:pPr>
        <w:snapToGrid/>
        <w:spacing w:line="262" w:lineRule="auto"/>
        <w:rPr>
          <w:color w:val="auto"/>
        </w:rPr>
      </w:pPr>
    </w:p>
    <w:p w14:paraId="3B828C25">
      <w:pPr>
        <w:snapToGrid/>
        <w:spacing w:line="262" w:lineRule="auto"/>
        <w:rPr>
          <w:color w:val="auto"/>
        </w:rPr>
      </w:pPr>
    </w:p>
    <w:p w14:paraId="5EA51CEB">
      <w:pPr>
        <w:snapToGrid/>
        <w:spacing w:line="262" w:lineRule="auto"/>
        <w:rPr>
          <w:color w:val="auto"/>
        </w:rPr>
      </w:pPr>
    </w:p>
    <w:p w14:paraId="6615813D">
      <w:pPr>
        <w:snapToGrid/>
        <w:spacing w:before="156" w:line="180" w:lineRule="auto"/>
        <w:jc w:val="center"/>
        <w:rPr>
          <w:color w:val="auto"/>
        </w:rPr>
      </w:pPr>
      <w:r>
        <w:rPr>
          <w:rFonts w:ascii="Times New Roman" w:hAnsi="Times New Roman" w:eastAsia="Times New Roman" w:cs="Times New Roman"/>
          <w:color w:val="auto"/>
          <w:spacing w:val="-5"/>
          <w:sz w:val="40"/>
          <w:szCs w:val="24"/>
        </w:rPr>
        <w:t>202</w:t>
      </w:r>
      <w:r>
        <w:rPr>
          <w:rFonts w:hint="eastAsia" w:ascii="Times New Roman" w:hAnsi="Times New Roman" w:eastAsia="宋体" w:cs="Times New Roman"/>
          <w:color w:val="auto"/>
          <w:spacing w:val="-5"/>
          <w:sz w:val="40"/>
          <w:szCs w:val="24"/>
        </w:rPr>
        <w:t>5</w:t>
      </w:r>
      <w:r>
        <w:rPr>
          <w:rFonts w:ascii="Malgun Gothic" w:hAnsi="Malgun Gothic" w:eastAsia="Malgun Gothic" w:cs="Malgun Gothic"/>
          <w:color w:val="auto"/>
          <w:spacing w:val="-5"/>
          <w:sz w:val="40"/>
          <w:szCs w:val="24"/>
        </w:rPr>
        <w:t>年</w:t>
      </w:r>
      <w:r>
        <w:rPr>
          <w:rFonts w:hint="eastAsia" w:ascii="Malgun Gothic" w:hAnsi="Malgun Gothic" w:eastAsia="宋体" w:cs="Malgun Gothic"/>
          <w:color w:val="auto"/>
          <w:spacing w:val="-22"/>
          <w:sz w:val="40"/>
          <w:szCs w:val="24"/>
        </w:rPr>
        <w:t>6</w:t>
      </w:r>
      <w:r>
        <w:rPr>
          <w:rFonts w:ascii="Malgun Gothic" w:hAnsi="Malgun Gothic" w:eastAsia="Malgun Gothic" w:cs="Malgun Gothic"/>
          <w:color w:val="auto"/>
          <w:spacing w:val="-5"/>
          <w:sz w:val="40"/>
          <w:szCs w:val="24"/>
        </w:rPr>
        <w:t>月</w:t>
      </w:r>
      <w:r>
        <w:rPr>
          <w:rFonts w:hint="eastAsia"/>
          <w:color w:val="auto"/>
        </w:rPr>
        <w:br w:type="page"/>
      </w:r>
    </w:p>
    <w:p w14:paraId="0A3880B2">
      <w:pPr>
        <w:tabs>
          <w:tab w:val="left" w:pos="8059"/>
        </w:tabs>
        <w:snapToGrid/>
        <w:spacing w:before="244" w:line="185" w:lineRule="auto"/>
        <w:ind w:firstLine="3969"/>
        <w:rPr>
          <w:color w:val="auto"/>
        </w:rPr>
      </w:pPr>
      <w:r>
        <w:rPr>
          <w:rFonts w:ascii="黑体" w:hAnsi="黑体" w:eastAsia="黑体" w:cs="黑体"/>
          <w:color w:val="auto"/>
          <w:spacing w:val="-25"/>
          <w:sz w:val="32"/>
        </w:rPr>
        <w:t>目 录</w:t>
      </w:r>
      <w:r>
        <w:rPr>
          <w:color w:val="auto"/>
        </w:rPr>
        <w:tab/>
      </w:r>
    </w:p>
    <w:p w14:paraId="76DC54AA">
      <w:pPr>
        <w:snapToGrid/>
        <w:spacing w:line="240" w:lineRule="auto"/>
        <w:jc w:val="center"/>
        <w:rPr>
          <w:color w:val="auto"/>
        </w:rPr>
      </w:pPr>
      <w:r>
        <w:rPr>
          <w:rFonts w:eastAsia="Arial"/>
          <w:color w:val="auto"/>
        </w:rPr>
        <w:t> </w:t>
      </w:r>
    </w:p>
    <w:p w14:paraId="1181CE1D">
      <w:pPr>
        <w:pStyle w:val="10"/>
        <w:tabs>
          <w:tab w:val="right" w:leader="dot" w:pos="9072"/>
        </w:tabs>
        <w:spacing w:line="360" w:lineRule="auto"/>
        <w:rPr>
          <w:rFonts w:ascii="黑体" w:hAnsi="黑体" w:eastAsia="黑体" w:cs="黑体"/>
          <w:sz w:val="24"/>
          <w:szCs w:val="24"/>
        </w:rPr>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TOC \o "1-3" \h \z \u </w:instrText>
      </w:r>
      <w:r>
        <w:rPr>
          <w:rFonts w:hint="eastAsia" w:ascii="黑体" w:hAnsi="黑体" w:eastAsia="黑体" w:cs="黑体"/>
          <w:color w:val="auto"/>
          <w:sz w:val="24"/>
          <w:szCs w:val="24"/>
        </w:rPr>
        <w:fldChar w:fldCharType="separate"/>
      </w:r>
      <w:r>
        <w:fldChar w:fldCharType="begin"/>
      </w:r>
      <w:r>
        <w:instrText xml:space="preserve"> HYPERLINK \l "_Toc2145789217" </w:instrText>
      </w:r>
      <w:r>
        <w:fldChar w:fldCharType="separate"/>
      </w:r>
      <w:r>
        <w:rPr>
          <w:rFonts w:hint="eastAsia" w:ascii="黑体" w:hAnsi="黑体" w:eastAsia="黑体" w:cs="黑体"/>
          <w:sz w:val="24"/>
          <w:szCs w:val="24"/>
        </w:rPr>
        <w:t>一、大赛名称</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_Toc2145789217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E3870E4">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"_Toc1586486048" </w:instrText>
      </w:r>
      <w:r>
        <w:fldChar w:fldCharType="separate"/>
      </w:r>
      <w:r>
        <w:rPr>
          <w:rFonts w:hint="eastAsia" w:ascii="黑体" w:hAnsi="黑体" w:eastAsia="黑体" w:cs="黑体"/>
          <w:sz w:val="24"/>
          <w:szCs w:val="24"/>
        </w:rPr>
        <w:t>二、大赛目的与意义</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_Toc1586486048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D9C1D59">
      <w:pPr>
        <w:pStyle w:val="10"/>
        <w:tabs>
          <w:tab w:val="right" w:leader="dot" w:pos="9072"/>
        </w:tabs>
        <w:spacing w:line="360" w:lineRule="auto"/>
        <w:rPr>
          <w:rFonts w:ascii="黑体" w:hAnsi="黑体" w:eastAsia="黑体" w:cs="黑体"/>
          <w:sz w:val="24"/>
          <w:szCs w:val="24"/>
        </w:rPr>
      </w:pPr>
      <w:r>
        <w:fldChar w:fldCharType="begin"/>
      </w:r>
      <w:r>
        <w:instrText xml:space="preserve"> HYPERLINK \l "_Toc914047584" </w:instrText>
      </w:r>
      <w:r>
        <w:fldChar w:fldCharType="separate"/>
      </w:r>
      <w:r>
        <w:rPr>
          <w:rFonts w:hint="eastAsia" w:ascii="黑体" w:hAnsi="黑体" w:eastAsia="黑体" w:cs="黑体"/>
          <w:sz w:val="24"/>
          <w:szCs w:val="24"/>
        </w:rPr>
        <w:t>三、大赛内容、形式和成绩计算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_Toc914047584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CAC0FE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"_Toc1447217297" </w:instrText>
      </w:r>
      <w:r>
        <w:fldChar w:fldCharType="separate"/>
      </w:r>
      <w:r>
        <w:rPr>
          <w:rFonts w:hint="eastAsia" w:ascii="黑体" w:hAnsi="黑体" w:eastAsia="黑体" w:cs="黑体"/>
          <w:sz w:val="24"/>
          <w:szCs w:val="24"/>
        </w:rPr>
        <w:t>（一）竞赛内容</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_Toc1447217297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EFFA86D">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"_Toc981324757" </w:instrText>
      </w:r>
      <w:r>
        <w:fldChar w:fldCharType="separate"/>
      </w:r>
      <w:r>
        <w:rPr>
          <w:rFonts w:hint="eastAsia" w:ascii="黑体" w:hAnsi="黑体" w:eastAsia="黑体" w:cs="黑体"/>
          <w:sz w:val="24"/>
          <w:szCs w:val="24"/>
        </w:rPr>
        <w:t>（二） 竞赛形式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_Toc981324757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19E2291">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"_Toc450781939" </w:instrText>
      </w:r>
      <w:r>
        <w:fldChar w:fldCharType="separate"/>
      </w:r>
      <w:r>
        <w:rPr>
          <w:rFonts w:hint="eastAsia" w:ascii="黑体" w:hAnsi="黑体" w:eastAsia="黑体" w:cs="黑体"/>
          <w:sz w:val="24"/>
          <w:szCs w:val="24"/>
        </w:rPr>
        <w:t>（三） 报名条件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_Toc450781939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D87C8B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"_Toc2117225804" </w:instrText>
      </w:r>
      <w:r>
        <w:fldChar w:fldCharType="separate"/>
      </w:r>
      <w:r>
        <w:rPr>
          <w:rFonts w:hint="eastAsia" w:ascii="黑体" w:hAnsi="黑体" w:eastAsia="黑体" w:cs="黑体"/>
          <w:sz w:val="24"/>
          <w:szCs w:val="24"/>
        </w:rPr>
        <w:t>（四） 成绩计算</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_Toc2117225804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A65BEB2">
      <w:pPr>
        <w:pStyle w:val="10"/>
        <w:tabs>
          <w:tab w:val="right" w:leader="dot" w:pos="9072"/>
        </w:tabs>
        <w:spacing w:line="360" w:lineRule="auto"/>
        <w:rPr>
          <w:rFonts w:ascii="黑体" w:hAnsi="黑体" w:eastAsia="黑体" w:cs="黑体"/>
          <w:sz w:val="24"/>
          <w:szCs w:val="24"/>
        </w:rPr>
      </w:pPr>
      <w:r>
        <w:fldChar w:fldCharType="begin"/>
      </w:r>
      <w:r>
        <w:instrText xml:space="preserve"> HYPERLINK \l "_Toc410057038" </w:instrText>
      </w:r>
      <w:r>
        <w:fldChar w:fldCharType="separate"/>
      </w:r>
      <w:r>
        <w:rPr>
          <w:rFonts w:hint="eastAsia" w:ascii="黑体" w:hAnsi="黑体" w:eastAsia="黑体" w:cs="黑体"/>
          <w:sz w:val="24"/>
          <w:szCs w:val="24"/>
        </w:rPr>
        <w:t>四、奖励办法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_Toc410057038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3200344">
      <w:pPr>
        <w:pStyle w:val="10"/>
        <w:tabs>
          <w:tab w:val="right" w:leader="dot" w:pos="9072"/>
        </w:tabs>
        <w:spacing w:line="360" w:lineRule="auto"/>
        <w:rPr>
          <w:rFonts w:ascii="黑体" w:hAnsi="黑体" w:eastAsia="黑体" w:cs="黑体"/>
          <w:sz w:val="24"/>
          <w:szCs w:val="24"/>
        </w:rPr>
      </w:pPr>
      <w:r>
        <w:fldChar w:fldCharType="begin"/>
      </w:r>
      <w:r>
        <w:instrText xml:space="preserve"> HYPERLINK \l "_Toc553614443" </w:instrText>
      </w:r>
      <w:r>
        <w:fldChar w:fldCharType="separate"/>
      </w:r>
      <w:r>
        <w:rPr>
          <w:rFonts w:hint="eastAsia" w:ascii="黑体" w:hAnsi="黑体" w:eastAsia="黑体" w:cs="黑体"/>
          <w:sz w:val="24"/>
          <w:szCs w:val="24"/>
        </w:rPr>
        <w:t>五、大赛命题原则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_Toc553614443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EA4129F">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"_Toc1698784697" </w:instrText>
      </w:r>
      <w:r>
        <w:fldChar w:fldCharType="separate"/>
      </w:r>
      <w:r>
        <w:rPr>
          <w:rFonts w:hint="eastAsia" w:ascii="黑体" w:hAnsi="黑体" w:eastAsia="黑体" w:cs="黑体"/>
          <w:sz w:val="24"/>
          <w:szCs w:val="24"/>
        </w:rPr>
        <w:t>六、大赛范围、赛题类型和其他</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_Toc1698784697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4E005D3">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"_Toc679315614" </w:instrText>
      </w:r>
      <w:r>
        <w:fldChar w:fldCharType="separate"/>
      </w:r>
      <w:r>
        <w:rPr>
          <w:rFonts w:hint="eastAsia" w:ascii="黑体" w:hAnsi="黑体" w:eastAsia="黑体" w:cs="黑体"/>
          <w:sz w:val="24"/>
          <w:szCs w:val="24"/>
        </w:rPr>
        <w:t>（一）理论知识竞赛</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_Toc679315614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149CDA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"_Toc1234457046" </w:instrText>
      </w:r>
      <w:r>
        <w:fldChar w:fldCharType="separate"/>
      </w:r>
      <w:r>
        <w:rPr>
          <w:rFonts w:hint="eastAsia" w:ascii="黑体" w:hAnsi="黑体" w:eastAsia="黑体" w:cs="黑体"/>
          <w:sz w:val="24"/>
          <w:szCs w:val="24"/>
        </w:rPr>
        <w:t>（二） 实际操作竞赛</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_Toc1234457046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125FE73">
      <w:pPr>
        <w:pStyle w:val="10"/>
        <w:tabs>
          <w:tab w:val="right" w:leader="dot" w:pos="9072"/>
        </w:tabs>
        <w:spacing w:line="360" w:lineRule="auto"/>
        <w:rPr>
          <w:rFonts w:ascii="黑体" w:hAnsi="黑体" w:eastAsia="黑体" w:cs="黑体"/>
          <w:sz w:val="24"/>
          <w:szCs w:val="24"/>
        </w:rPr>
      </w:pPr>
      <w:r>
        <w:fldChar w:fldCharType="begin"/>
      </w:r>
      <w:r>
        <w:instrText xml:space="preserve"> HYPERLINK \l "_Toc680058455" </w:instrText>
      </w:r>
      <w:r>
        <w:fldChar w:fldCharType="separate"/>
      </w:r>
      <w:r>
        <w:rPr>
          <w:rFonts w:hint="eastAsia" w:ascii="黑体" w:hAnsi="黑体" w:eastAsia="黑体" w:cs="黑体"/>
          <w:sz w:val="24"/>
          <w:szCs w:val="24"/>
        </w:rPr>
        <w:t>七、大赛场地与设施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_Toc680058455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D06EBD8">
      <w:pPr>
        <w:pStyle w:val="10"/>
        <w:tabs>
          <w:tab w:val="right" w:leader="dot" w:pos="9072"/>
        </w:tabs>
        <w:spacing w:line="360" w:lineRule="auto"/>
        <w:rPr>
          <w:rFonts w:ascii="黑体" w:hAnsi="黑体" w:eastAsia="黑体" w:cs="黑体"/>
          <w:sz w:val="24"/>
          <w:szCs w:val="24"/>
        </w:rPr>
      </w:pPr>
      <w:r>
        <w:fldChar w:fldCharType="begin"/>
      </w:r>
      <w:r>
        <w:instrText xml:space="preserve"> HYPERLINK \l "_Toc834483851" </w:instrText>
      </w:r>
      <w:r>
        <w:fldChar w:fldCharType="separate"/>
      </w:r>
      <w:r>
        <w:rPr>
          <w:rFonts w:hint="eastAsia" w:ascii="黑体" w:hAnsi="黑体" w:eastAsia="黑体" w:cs="黑体"/>
          <w:sz w:val="24"/>
          <w:szCs w:val="24"/>
        </w:rPr>
        <w:t>八、大赛关键环节与时间安排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_Toc834483851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3248BD9">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"_Toc2101868847" </w:instrText>
      </w:r>
      <w:r>
        <w:fldChar w:fldCharType="separate"/>
      </w:r>
      <w:r>
        <w:rPr>
          <w:rFonts w:hint="eastAsia" w:ascii="黑体" w:hAnsi="黑体" w:eastAsia="黑体" w:cs="黑体"/>
          <w:sz w:val="24"/>
          <w:szCs w:val="24"/>
        </w:rPr>
        <w:t>（一）关键环节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_Toc2101868847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93981BF">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"_Toc3718379" </w:instrText>
      </w:r>
      <w:r>
        <w:fldChar w:fldCharType="separate"/>
      </w:r>
      <w:r>
        <w:rPr>
          <w:rFonts w:hint="eastAsia" w:ascii="黑体" w:hAnsi="黑体" w:eastAsia="黑体" w:cs="黑体"/>
          <w:sz w:val="24"/>
          <w:szCs w:val="24"/>
        </w:rPr>
        <w:t>（二）竞赛流程</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_Toc3718379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52D46B8">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"_Toc217770090" </w:instrText>
      </w:r>
      <w:r>
        <w:fldChar w:fldCharType="separate"/>
      </w:r>
      <w:r>
        <w:rPr>
          <w:rFonts w:hint="eastAsia" w:ascii="黑体" w:hAnsi="黑体" w:eastAsia="黑体" w:cs="黑体"/>
          <w:sz w:val="24"/>
          <w:szCs w:val="24"/>
        </w:rPr>
        <w:t>（三） 时间安排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_Toc217770090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B96B7A1">
      <w:pPr>
        <w:pStyle w:val="10"/>
        <w:tabs>
          <w:tab w:val="right" w:leader="dot" w:pos="9072"/>
        </w:tabs>
        <w:spacing w:line="360" w:lineRule="auto"/>
        <w:rPr>
          <w:rFonts w:ascii="黑体" w:hAnsi="黑体" w:eastAsia="黑体" w:cs="黑体"/>
          <w:sz w:val="24"/>
          <w:szCs w:val="24"/>
        </w:rPr>
      </w:pPr>
      <w:r>
        <w:fldChar w:fldCharType="begin"/>
      </w:r>
      <w:r>
        <w:instrText xml:space="preserve"> HYPERLINK \l "_Toc749768142" </w:instrText>
      </w:r>
      <w:r>
        <w:fldChar w:fldCharType="separate"/>
      </w:r>
      <w:r>
        <w:rPr>
          <w:rFonts w:hint="eastAsia" w:ascii="黑体" w:hAnsi="黑体" w:eastAsia="黑体" w:cs="黑体"/>
          <w:sz w:val="24"/>
          <w:szCs w:val="24"/>
        </w:rPr>
        <w:t>九、大赛评分标准制定原则、评分方法、评分细则及技术规范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_Toc749768142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10EAE39">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"_Toc2066605645" </w:instrText>
      </w:r>
      <w:r>
        <w:fldChar w:fldCharType="separate"/>
      </w:r>
      <w:r>
        <w:rPr>
          <w:rFonts w:hint="eastAsia" w:ascii="黑体" w:hAnsi="黑体" w:eastAsia="黑体" w:cs="黑体"/>
          <w:sz w:val="24"/>
          <w:szCs w:val="24"/>
        </w:rPr>
        <w:t>（一）评分标准制定原则</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_Toc2066605645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395BBA3">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"_Toc40568937" </w:instrText>
      </w:r>
      <w:r>
        <w:fldChar w:fldCharType="separate"/>
      </w:r>
      <w:r>
        <w:rPr>
          <w:rFonts w:hint="eastAsia" w:ascii="黑体" w:hAnsi="黑体" w:eastAsia="黑体" w:cs="黑体"/>
          <w:sz w:val="24"/>
          <w:szCs w:val="24"/>
        </w:rPr>
        <w:t>（二）评分方法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_Toc40568937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E32EC66">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"_Toc1089808060" </w:instrText>
      </w:r>
      <w:r>
        <w:fldChar w:fldCharType="separate"/>
      </w:r>
      <w:r>
        <w:rPr>
          <w:rFonts w:hint="eastAsia" w:ascii="黑体" w:hAnsi="黑体" w:eastAsia="黑体" w:cs="黑体"/>
          <w:sz w:val="24"/>
          <w:szCs w:val="24"/>
        </w:rPr>
        <w:t>（三）评分要点(评分指标)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_Toc1089808060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0E432A1">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"_Toc516039157" </w:instrText>
      </w:r>
      <w:r>
        <w:fldChar w:fldCharType="separate"/>
      </w:r>
      <w:r>
        <w:rPr>
          <w:rFonts w:hint="eastAsia" w:ascii="黑体" w:hAnsi="黑体" w:eastAsia="黑体" w:cs="黑体"/>
          <w:sz w:val="24"/>
          <w:szCs w:val="24"/>
        </w:rPr>
        <w:t>（四）技术规范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_Toc516039157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1584A63">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"_Toc1531145113" </w:instrText>
      </w:r>
      <w:r>
        <w:fldChar w:fldCharType="separate"/>
      </w:r>
      <w:r>
        <w:rPr>
          <w:rFonts w:hint="eastAsia" w:ascii="黑体" w:hAnsi="黑体" w:eastAsia="黑体" w:cs="黑体"/>
          <w:sz w:val="24"/>
          <w:szCs w:val="24"/>
        </w:rPr>
        <w:t>十、大赛平台说明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_Toc1531145113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9B044C6">
      <w:pPr>
        <w:pStyle w:val="10"/>
        <w:tabs>
          <w:tab w:val="right" w:leader="dot" w:pos="9072"/>
        </w:tabs>
        <w:spacing w:line="360" w:lineRule="auto"/>
        <w:rPr>
          <w:rFonts w:ascii="黑体" w:hAnsi="黑体" w:eastAsia="黑体" w:cs="黑体"/>
          <w:sz w:val="24"/>
          <w:szCs w:val="24"/>
        </w:rPr>
      </w:pPr>
      <w:r>
        <w:fldChar w:fldCharType="begin"/>
      </w:r>
      <w:r>
        <w:instrText xml:space="preserve"> HYPERLINK \l "_Toc659372190" </w:instrText>
      </w:r>
      <w:r>
        <w:fldChar w:fldCharType="separate"/>
      </w:r>
      <w:r>
        <w:rPr>
          <w:rFonts w:hint="eastAsia" w:ascii="黑体" w:hAnsi="黑体" w:eastAsia="黑体" w:cs="黑体"/>
          <w:sz w:val="24"/>
          <w:szCs w:val="24"/>
        </w:rPr>
        <w:t>十一、大赛安全保障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_Toc659372190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ABFBE8B">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"_Toc1052778810" </w:instrText>
      </w:r>
      <w:r>
        <w:fldChar w:fldCharType="separate"/>
      </w:r>
      <w:r>
        <w:rPr>
          <w:rFonts w:hint="eastAsia" w:ascii="黑体" w:hAnsi="黑体" w:eastAsia="黑体" w:cs="黑体"/>
          <w:sz w:val="24"/>
          <w:szCs w:val="24"/>
        </w:rPr>
        <w:t>（一）比赛环境</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_Toc1052778810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88D51F0">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"_Toc935692037" </w:instrText>
      </w:r>
      <w:r>
        <w:fldChar w:fldCharType="separate"/>
      </w:r>
      <w:r>
        <w:rPr>
          <w:rFonts w:hint="eastAsia" w:ascii="黑体" w:hAnsi="黑体" w:eastAsia="黑体" w:cs="黑体"/>
          <w:sz w:val="24"/>
          <w:szCs w:val="24"/>
        </w:rPr>
        <w:t>（二）生活条件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_Toc935692037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4543F98">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"_Toc153318878" </w:instrText>
      </w:r>
      <w:r>
        <w:fldChar w:fldCharType="separate"/>
      </w:r>
      <w:r>
        <w:rPr>
          <w:rFonts w:hint="eastAsia" w:ascii="黑体" w:hAnsi="黑体" w:eastAsia="黑体" w:cs="黑体"/>
          <w:sz w:val="24"/>
          <w:szCs w:val="24"/>
        </w:rPr>
        <w:t>（三）组队责任安全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_Toc153318878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043AA42">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"_Toc1997489793" </w:instrText>
      </w:r>
      <w:r>
        <w:fldChar w:fldCharType="separate"/>
      </w:r>
      <w:r>
        <w:rPr>
          <w:rFonts w:hint="eastAsia" w:ascii="黑体" w:hAnsi="黑体" w:eastAsia="黑体" w:cs="黑体"/>
          <w:sz w:val="24"/>
          <w:szCs w:val="24"/>
        </w:rPr>
        <w:t>（四）应急处理安全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_Toc1997489793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360FF59">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"_Toc199097400" </w:instrText>
      </w:r>
      <w:r>
        <w:fldChar w:fldCharType="separate"/>
      </w:r>
      <w:r>
        <w:rPr>
          <w:rFonts w:hint="eastAsia" w:ascii="黑体" w:hAnsi="黑体" w:eastAsia="黑体" w:cs="黑体"/>
          <w:sz w:val="24"/>
          <w:szCs w:val="24"/>
        </w:rPr>
        <w:t>（五）处罚措施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_Toc199097400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5071F9E">
      <w:pPr>
        <w:pStyle w:val="10"/>
        <w:tabs>
          <w:tab w:val="right" w:leader="dot" w:pos="9072"/>
        </w:tabs>
        <w:spacing w:line="360" w:lineRule="auto"/>
        <w:rPr>
          <w:rFonts w:ascii="黑体" w:hAnsi="黑体" w:eastAsia="黑体" w:cs="黑体"/>
          <w:sz w:val="24"/>
          <w:szCs w:val="24"/>
        </w:rPr>
      </w:pPr>
      <w:r>
        <w:fldChar w:fldCharType="begin"/>
      </w:r>
      <w:r>
        <w:instrText xml:space="preserve"> HYPERLINK \l "_Toc450479774" </w:instrText>
      </w:r>
      <w:r>
        <w:fldChar w:fldCharType="separate"/>
      </w:r>
      <w:r>
        <w:rPr>
          <w:rFonts w:hint="eastAsia" w:ascii="黑体" w:hAnsi="黑体" w:eastAsia="黑体" w:cs="黑体"/>
          <w:sz w:val="24"/>
          <w:szCs w:val="24"/>
        </w:rPr>
        <w:t>十二、大赛组织与管理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_Toc450479774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DB0807F">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"_Toc1333705943" </w:instrText>
      </w:r>
      <w:r>
        <w:fldChar w:fldCharType="separate"/>
      </w:r>
      <w:r>
        <w:rPr>
          <w:rFonts w:hint="eastAsia" w:ascii="黑体" w:hAnsi="黑体" w:eastAsia="黑体" w:cs="黑体"/>
          <w:sz w:val="24"/>
          <w:szCs w:val="24"/>
        </w:rPr>
        <w:t>（一）大赛组织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_Toc1333705943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4CBD67F">
      <w:pPr>
        <w:pStyle w:val="11"/>
        <w:tabs>
          <w:tab w:val="right" w:leader="dot" w:pos="9072"/>
        </w:tabs>
        <w:spacing w:line="360" w:lineRule="auto"/>
        <w:ind w:left="560"/>
        <w:rPr>
          <w:rFonts w:ascii="黑体" w:hAnsi="黑体" w:eastAsia="黑体" w:cs="黑体"/>
          <w:sz w:val="24"/>
          <w:szCs w:val="24"/>
        </w:rPr>
      </w:pPr>
      <w:r>
        <w:fldChar w:fldCharType="begin"/>
      </w:r>
      <w:r>
        <w:instrText xml:space="preserve"> HYPERLINK \l "_Toc161476615" </w:instrText>
      </w:r>
      <w:r>
        <w:fldChar w:fldCharType="separate"/>
      </w:r>
      <w:r>
        <w:rPr>
          <w:rFonts w:hint="eastAsia" w:ascii="黑体" w:hAnsi="黑体" w:eastAsia="黑体" w:cs="黑体"/>
          <w:sz w:val="24"/>
          <w:szCs w:val="24"/>
        </w:rPr>
        <w:t>（二）大赛设备与设施管理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_Toc161476615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1951C85">
      <w:pPr>
        <w:pStyle w:val="10"/>
        <w:tabs>
          <w:tab w:val="right" w:leader="dot" w:pos="9072"/>
        </w:tabs>
        <w:spacing w:line="360" w:lineRule="auto"/>
        <w:rPr>
          <w:rFonts w:ascii="黑体" w:hAnsi="黑体" w:eastAsia="黑体" w:cs="黑体"/>
          <w:sz w:val="24"/>
          <w:szCs w:val="24"/>
        </w:rPr>
      </w:pPr>
      <w:r>
        <w:fldChar w:fldCharType="begin"/>
      </w:r>
      <w:r>
        <w:instrText xml:space="preserve"> HYPERLINK \l "_Toc1665622144" </w:instrText>
      </w:r>
      <w:r>
        <w:fldChar w:fldCharType="separate"/>
      </w:r>
      <w:r>
        <w:rPr>
          <w:rFonts w:hint="eastAsia" w:ascii="黑体" w:hAnsi="黑体" w:eastAsia="黑体" w:cs="黑体"/>
          <w:sz w:val="24"/>
          <w:szCs w:val="24"/>
        </w:rPr>
        <w:t>十三、附件（大赛样题）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_Toc1665622144 \h </w:instrText>
      </w:r>
      <w:r>
        <w:rPr>
          <w:rFonts w:hint="eastAsia" w:ascii="黑体" w:hAnsi="黑体" w:eastAsia="黑体" w:cs="黑体"/>
          <w:sz w:val="24"/>
          <w:szCs w:val="24"/>
        </w:rPr>
        <w:fldChar w:fldCharType="separate"/>
      </w:r>
      <w:r>
        <w:rPr>
          <w:rFonts w:ascii="黑体" w:hAnsi="黑体" w:eastAsia="黑体" w:cs="黑体"/>
          <w:sz w:val="24"/>
          <w:szCs w:val="24"/>
        </w:rPr>
        <w:t>- 3 -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AF38868">
      <w:pPr>
        <w:snapToGrid/>
        <w:spacing w:line="360" w:lineRule="auto"/>
        <w:jc w:val="both"/>
        <w:rPr>
          <w:rFonts w:ascii="黑体" w:hAnsi="黑体" w:eastAsia="黑体" w:cs="黑体"/>
          <w:color w:val="auto"/>
          <w:sz w:val="24"/>
          <w:szCs w:val="24"/>
        </w:rPr>
        <w:sectPr>
          <w:footerReference r:id="rId5" w:type="default"/>
          <w:pgSz w:w="11906" w:h="16838"/>
          <w:pgMar w:top="1361" w:right="1417" w:bottom="1361" w:left="1417" w:header="712" w:footer="853" w:gutter="0"/>
          <w:pgNumType w:fmt="numberInDash"/>
          <w:cols w:space="720" w:num="1"/>
        </w:sectPr>
      </w:pPr>
      <w:r>
        <w:rPr>
          <w:rFonts w:hint="eastAsia" w:ascii="黑体" w:hAnsi="黑体" w:eastAsia="黑体" w:cs="黑体"/>
          <w:color w:val="auto"/>
          <w:sz w:val="24"/>
          <w:szCs w:val="24"/>
        </w:rPr>
        <w:fldChar w:fldCharType="end"/>
      </w:r>
    </w:p>
    <w:p w14:paraId="5361AA8F">
      <w:pPr>
        <w:pStyle w:val="2"/>
        <w:snapToGrid/>
        <w:spacing w:before="450" w:line="185" w:lineRule="auto"/>
        <w:rPr>
          <w:rFonts w:hint="eastAsia"/>
          <w:color w:val="auto"/>
        </w:rPr>
      </w:pPr>
      <w:bookmarkStart w:id="0" w:name="_Toc2145789217"/>
      <w:r>
        <w:rPr>
          <w:rFonts w:ascii="黑体" w:hAnsi="黑体" w:eastAsia="黑体" w:cs="黑体"/>
          <w:color w:val="auto"/>
          <w:sz w:val="30"/>
        </w:rPr>
        <w:t>一、大赛名称</w:t>
      </w:r>
      <w:bookmarkEnd w:id="0"/>
    </w:p>
    <w:p w14:paraId="1599464D">
      <w:pPr>
        <w:snapToGrid/>
        <w:spacing w:line="245" w:lineRule="auto"/>
        <w:rPr>
          <w:color w:val="auto"/>
        </w:rPr>
      </w:pPr>
      <w:r>
        <w:rPr>
          <w:rFonts w:ascii="Malgun Gothic" w:hAnsi="Malgun Gothic" w:eastAsia="Malgun Gothic" w:cs="Malgun Gothic"/>
          <w:color w:val="auto"/>
          <w:sz w:val="21"/>
        </w:rPr>
        <w:t> </w:t>
      </w:r>
    </w:p>
    <w:p w14:paraId="2520C12E">
      <w:pPr>
        <w:snapToGrid/>
        <w:spacing w:before="272" w:line="370" w:lineRule="auto"/>
        <w:ind w:left="6" w:right="85" w:firstLine="561"/>
        <w:rPr>
          <w:color w:val="auto"/>
        </w:rPr>
      </w:pPr>
      <w:r>
        <w:rPr>
          <w:rFonts w:ascii="仿宋_GB2312" w:hAnsi="仿宋_GB2312" w:eastAsia="仿宋_GB2312" w:cs="仿宋_GB2312"/>
          <w:color w:val="auto"/>
          <w:spacing w:val="-3"/>
        </w:rPr>
        <w:t>第</w:t>
      </w:r>
      <w:r>
        <w:rPr>
          <w:rFonts w:hint="eastAsia" w:ascii="仿宋_GB2312" w:hAnsi="仿宋_GB2312" w:eastAsia="仿宋_GB2312" w:cs="仿宋_GB2312"/>
          <w:color w:val="auto"/>
          <w:spacing w:val="-3"/>
        </w:rPr>
        <w:t>三</w:t>
      </w:r>
      <w:r>
        <w:rPr>
          <w:rFonts w:ascii="仿宋_GB2312" w:hAnsi="仿宋_GB2312" w:eastAsia="仿宋_GB2312" w:cs="仿宋_GB2312"/>
          <w:color w:val="auto"/>
          <w:spacing w:val="-3"/>
        </w:rPr>
        <w:t>届“强国杯”大赛——工业大数据管理与分析赛项。</w:t>
      </w:r>
    </w:p>
    <w:p w14:paraId="329BB1D7">
      <w:pPr>
        <w:pStyle w:val="2"/>
        <w:snapToGrid/>
        <w:spacing w:before="450" w:line="185" w:lineRule="auto"/>
        <w:rPr>
          <w:rFonts w:hint="eastAsia"/>
          <w:color w:val="auto"/>
        </w:rPr>
      </w:pPr>
      <w:bookmarkStart w:id="1" w:name="_Toc1586486048"/>
      <w:r>
        <w:rPr>
          <w:rFonts w:ascii="黑体" w:hAnsi="黑体" w:eastAsia="黑体" w:cs="黑体"/>
          <w:color w:val="auto"/>
          <w:sz w:val="30"/>
        </w:rPr>
        <w:t>二、大赛目的与意义</w:t>
      </w:r>
      <w:bookmarkEnd w:id="1"/>
    </w:p>
    <w:p w14:paraId="384F3654">
      <w:pPr>
        <w:snapToGrid/>
        <w:spacing w:before="272" w:line="360" w:lineRule="auto"/>
        <w:ind w:left="6" w:right="85" w:firstLine="561"/>
        <w:jc w:val="both"/>
        <w:rPr>
          <w:rFonts w:ascii="仿宋_GB2312" w:hAnsi="仿宋_GB2312" w:eastAsia="仿宋_GB2312" w:cs="仿宋_GB2312"/>
          <w:color w:val="auto"/>
          <w:spacing w:val="-3"/>
          <w:szCs w:val="28"/>
        </w:rPr>
      </w:pPr>
      <w:r>
        <w:rPr>
          <w:rFonts w:ascii="仿宋_GB2312" w:hAnsi="仿宋_GB2312" w:eastAsia="仿宋_GB2312" w:cs="仿宋_GB2312"/>
          <w:color w:val="auto"/>
          <w:spacing w:val="-3"/>
          <w:szCs w:val="28"/>
        </w:rPr>
        <w:t>为贯彻落实国家大数据发展战略，促进工业数字化转型，激发工业数据资源要素潜力，加快工业大数据产业发展，促进工业互联网领域人才产教融合培养体系，提高工业互联网行业人才培养培训质量，扩大人才培养规模，支撑服务产业发展，工业大数据管理与分析赛项应运而生。</w:t>
      </w:r>
    </w:p>
    <w:p w14:paraId="7665FAA0">
      <w:pPr>
        <w:snapToGrid/>
        <w:spacing w:before="272" w:line="360" w:lineRule="auto"/>
        <w:ind w:left="6" w:right="85" w:firstLine="561"/>
        <w:jc w:val="both"/>
        <w:rPr>
          <w:rFonts w:ascii="仿宋_GB2312" w:hAnsi="仿宋_GB2312" w:eastAsia="仿宋_GB2312" w:cs="仿宋_GB2312"/>
          <w:color w:val="auto"/>
          <w:spacing w:val="-3"/>
          <w:szCs w:val="28"/>
        </w:rPr>
      </w:pPr>
      <w:r>
        <w:rPr>
          <w:rFonts w:ascii="仿宋_GB2312" w:hAnsi="仿宋_GB2312" w:eastAsia="仿宋_GB2312" w:cs="仿宋_GB2312"/>
          <w:color w:val="auto"/>
          <w:spacing w:val="-3"/>
          <w:szCs w:val="28"/>
        </w:rPr>
        <w:t>工业大数据竞赛对于促进技术创新、推动行业发展和解决实际问题具有重要意义。竞赛为参与者提供工业数据管理与分析平台，让选手能够运用数据科学和技术手段，探索解决工业领域中的挑战，从而促进技术创新、推动行业发展、解决实际问题，并促进跨界合作与交流，为工业领域带来新的突破和进步。</w:t>
      </w:r>
    </w:p>
    <w:p w14:paraId="629FAA68">
      <w:pPr>
        <w:pStyle w:val="2"/>
        <w:snapToGrid/>
        <w:spacing w:before="450" w:line="185" w:lineRule="auto"/>
        <w:rPr>
          <w:rFonts w:hint="eastAsia"/>
          <w:color w:val="auto"/>
        </w:rPr>
      </w:pPr>
      <w:bookmarkStart w:id="2" w:name="_Toc914047584"/>
      <w:r>
        <w:rPr>
          <w:rFonts w:ascii="黑体" w:hAnsi="黑体" w:eastAsia="黑体" w:cs="黑体"/>
          <w:color w:val="auto"/>
          <w:sz w:val="30"/>
        </w:rPr>
        <w:t>三、大赛内容、形式和成绩计算</w:t>
      </w:r>
      <w:bookmarkEnd w:id="2"/>
    </w:p>
    <w:p w14:paraId="4C6E4BD8">
      <w:pPr>
        <w:pStyle w:val="3"/>
        <w:snapToGrid/>
        <w:spacing w:before="274" w:line="190" w:lineRule="auto"/>
        <w:ind w:firstLine="561"/>
        <w:rPr>
          <w:rFonts w:hint="eastAsia"/>
          <w:color w:val="auto"/>
        </w:rPr>
      </w:pPr>
      <w:bookmarkStart w:id="3" w:name="_Toc1447217297"/>
      <w:r>
        <w:rPr>
          <w:rFonts w:ascii="楷体" w:hAnsi="楷体" w:eastAsia="楷体" w:cs="楷体"/>
          <w:color w:val="auto"/>
          <w:sz w:val="30"/>
        </w:rPr>
        <w:t>（一）竞赛内容</w:t>
      </w:r>
      <w:bookmarkEnd w:id="3"/>
    </w:p>
    <w:p w14:paraId="01ED0345">
      <w:pPr>
        <w:snapToGrid/>
        <w:spacing w:before="272" w:line="360" w:lineRule="auto"/>
        <w:ind w:left="6" w:right="85" w:firstLine="561"/>
        <w:jc w:val="both"/>
        <w:rPr>
          <w:color w:val="auto"/>
        </w:rPr>
      </w:pPr>
      <w:r>
        <w:rPr>
          <w:rFonts w:ascii="仿宋_GB2312" w:hAnsi="仿宋_GB2312" w:eastAsia="仿宋_GB2312" w:cs="仿宋_GB2312"/>
          <w:color w:val="auto"/>
          <w:spacing w:val="-3"/>
        </w:rPr>
        <w:t>竞赛内容分为理论考试和实践操作，理论考试为线上考核均为客观题，实践操作是在</w:t>
      </w:r>
      <w:r>
        <w:rPr>
          <w:rFonts w:hint="eastAsia" w:ascii="仿宋_GB2312" w:hAnsi="仿宋_GB2312" w:eastAsia="仿宋_GB2312" w:cs="仿宋_GB2312"/>
          <w:color w:val="auto"/>
          <w:spacing w:val="-3"/>
        </w:rPr>
        <w:t>工业互联网平台上</w:t>
      </w:r>
      <w:r>
        <w:rPr>
          <w:rFonts w:ascii="仿宋_GB2312" w:hAnsi="仿宋_GB2312" w:eastAsia="仿宋_GB2312" w:cs="仿宋_GB2312"/>
          <w:color w:val="auto"/>
          <w:spacing w:val="-3"/>
        </w:rPr>
        <w:t>操作，主要考核参赛选手在</w:t>
      </w:r>
      <w:r>
        <w:rPr>
          <w:rFonts w:hint="eastAsia" w:ascii="仿宋_GB2312" w:hAnsi="仿宋_GB2312" w:eastAsia="仿宋_GB2312" w:cs="仿宋_GB2312"/>
          <w:color w:val="auto"/>
          <w:spacing w:val="-3"/>
        </w:rPr>
        <w:t>工业互联网</w:t>
      </w:r>
      <w:r>
        <w:rPr>
          <w:rFonts w:ascii="仿宋_GB2312" w:hAnsi="仿宋_GB2312" w:eastAsia="仿宋_GB2312" w:cs="仿宋_GB2312"/>
          <w:color w:val="auto"/>
          <w:spacing w:val="-3"/>
        </w:rPr>
        <w:t>平台上的工业数据</w:t>
      </w:r>
      <w:r>
        <w:rPr>
          <w:rFonts w:hint="eastAsia" w:ascii="仿宋_GB2312" w:hAnsi="仿宋_GB2312" w:eastAsia="仿宋_GB2312" w:cs="仿宋_GB2312"/>
          <w:color w:val="auto"/>
          <w:spacing w:val="-3"/>
        </w:rPr>
        <w:t>建模</w:t>
      </w:r>
      <w:r>
        <w:rPr>
          <w:rFonts w:ascii="仿宋_GB2312" w:hAnsi="仿宋_GB2312" w:eastAsia="仿宋_GB2312" w:cs="仿宋_GB2312"/>
          <w:color w:val="auto"/>
          <w:spacing w:val="-3"/>
        </w:rPr>
        <w:t>、数据</w:t>
      </w:r>
      <w:r>
        <w:rPr>
          <w:rFonts w:hint="eastAsia" w:ascii="仿宋_GB2312" w:hAnsi="仿宋_GB2312" w:eastAsia="仿宋_GB2312" w:cs="仿宋_GB2312"/>
          <w:color w:val="auto"/>
          <w:spacing w:val="-3"/>
        </w:rPr>
        <w:t>可视化</w:t>
      </w:r>
      <w:r>
        <w:rPr>
          <w:rFonts w:ascii="仿宋_GB2312" w:hAnsi="仿宋_GB2312" w:eastAsia="仿宋_GB2312" w:cs="仿宋_GB2312"/>
          <w:color w:val="auto"/>
          <w:spacing w:val="-3"/>
        </w:rPr>
        <w:t>分析</w:t>
      </w:r>
      <w:r>
        <w:rPr>
          <w:rFonts w:hint="eastAsia" w:ascii="仿宋_GB2312" w:hAnsi="仿宋_GB2312" w:eastAsia="仿宋_GB2312" w:cs="仿宋_GB2312"/>
          <w:color w:val="auto"/>
          <w:spacing w:val="-3"/>
        </w:rPr>
        <w:t>、</w:t>
      </w:r>
      <w:r>
        <w:rPr>
          <w:rFonts w:ascii="仿宋_GB2312" w:hAnsi="仿宋_GB2312" w:eastAsia="仿宋_GB2312" w:cs="仿宋_GB2312"/>
          <w:color w:val="auto"/>
          <w:spacing w:val="-3"/>
        </w:rPr>
        <w:t>数据</w:t>
      </w:r>
      <w:r>
        <w:rPr>
          <w:rFonts w:hint="eastAsia" w:ascii="仿宋_GB2312" w:hAnsi="仿宋_GB2312" w:eastAsia="仿宋_GB2312" w:cs="仿宋_GB2312"/>
          <w:color w:val="auto"/>
          <w:spacing w:val="-3"/>
        </w:rPr>
        <w:t>报警分析</w:t>
      </w:r>
      <w:r>
        <w:rPr>
          <w:rFonts w:ascii="仿宋_GB2312" w:hAnsi="仿宋_GB2312" w:eastAsia="仿宋_GB2312" w:cs="仿宋_GB2312"/>
          <w:color w:val="auto"/>
          <w:spacing w:val="-3"/>
        </w:rPr>
        <w:t>等方面的技能。通过对工业数据的分析，让数据赋能价值创造过程，完成数据的价值化变现。此外同时考核参赛选手解决问题能力以及致力于紧跟行业发展步伐的自我学习能力。</w:t>
      </w:r>
    </w:p>
    <w:p w14:paraId="465D5960">
      <w:pPr>
        <w:snapToGrid/>
        <w:spacing w:line="36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1</w:t>
      </w:r>
      <w:r>
        <w:rPr>
          <w:color w:val="auto"/>
        </w:rPr>
        <w:fldChar w:fldCharType="end"/>
      </w:r>
      <w:r>
        <w:rPr>
          <w:rFonts w:ascii="黑体" w:hAnsi="黑体" w:eastAsia="黑体" w:cs="黑体"/>
          <w:color w:val="auto"/>
          <w:sz w:val="24"/>
        </w:rPr>
        <w:t>竞赛模块内容</w:t>
      </w:r>
    </w:p>
    <w:tbl>
      <w:tblPr>
        <w:tblStyle w:val="1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665"/>
        <w:gridCol w:w="1620"/>
        <w:gridCol w:w="1425"/>
        <w:gridCol w:w="1425"/>
        <w:gridCol w:w="2895"/>
      </w:tblGrid>
      <w:tr w14:paraId="11AED69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38" w:hRule="atLeast"/>
        </w:trPr>
        <w:tc>
          <w:tcPr>
            <w:tcW w:w="16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9994DB4">
            <w:pPr>
              <w:snapToGrid/>
              <w:spacing w:line="240" w:lineRule="auto"/>
              <w:jc w:val="center"/>
              <w:rPr>
                <w:rFonts w:ascii="宋体" w:hAnsi="宋体" w:eastAsia="宋体"/>
                <w:color w:val="auto"/>
                <w:sz w:val="24"/>
              </w:rPr>
            </w:pPr>
            <w:r>
              <w:rPr>
                <w:rFonts w:ascii="宋体" w:hAnsi="宋体" w:eastAsia="宋体" w:cs="仿宋_GB2312"/>
                <w:b/>
                <w:color w:val="auto"/>
                <w:sz w:val="24"/>
              </w:rPr>
              <w:t>阶段</w:t>
            </w: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00B28F">
            <w:pPr>
              <w:snapToGrid/>
              <w:spacing w:line="240" w:lineRule="auto"/>
              <w:jc w:val="center"/>
              <w:rPr>
                <w:rFonts w:ascii="宋体" w:hAnsi="宋体" w:eastAsia="宋体"/>
                <w:color w:val="auto"/>
                <w:sz w:val="24"/>
              </w:rPr>
            </w:pPr>
            <w:r>
              <w:rPr>
                <w:rFonts w:ascii="宋体" w:hAnsi="宋体" w:eastAsia="宋体" w:cs="仿宋_GB2312"/>
                <w:b/>
                <w:color w:val="auto"/>
                <w:sz w:val="24"/>
              </w:rPr>
              <w:t>比赛模块</w:t>
            </w:r>
          </w:p>
        </w:tc>
        <w:tc>
          <w:tcPr>
            <w:tcW w:w="14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536B58">
            <w:pPr>
              <w:snapToGrid/>
              <w:spacing w:line="240" w:lineRule="auto"/>
              <w:jc w:val="center"/>
              <w:rPr>
                <w:rFonts w:ascii="宋体" w:hAnsi="宋体" w:eastAsia="宋体"/>
                <w:color w:val="auto"/>
                <w:sz w:val="24"/>
              </w:rPr>
            </w:pPr>
            <w:r>
              <w:rPr>
                <w:rFonts w:ascii="宋体" w:hAnsi="宋体" w:eastAsia="宋体" w:cs="仿宋_GB2312"/>
                <w:b/>
                <w:color w:val="auto"/>
                <w:sz w:val="24"/>
              </w:rPr>
              <w:t>分值占比</w:t>
            </w:r>
          </w:p>
        </w:tc>
        <w:tc>
          <w:tcPr>
            <w:tcW w:w="14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E1FB7E">
            <w:pPr>
              <w:snapToGrid/>
              <w:spacing w:line="240" w:lineRule="auto"/>
              <w:jc w:val="center"/>
              <w:rPr>
                <w:rFonts w:ascii="宋体" w:hAnsi="宋体" w:eastAsia="宋体" w:cs="仿宋_GB2312"/>
                <w:b/>
                <w:color w:val="auto"/>
                <w:sz w:val="24"/>
              </w:rPr>
            </w:pPr>
            <w:r>
              <w:rPr>
                <w:rFonts w:ascii="宋体" w:hAnsi="宋体" w:eastAsia="宋体" w:cs="仿宋_GB2312"/>
                <w:b/>
                <w:color w:val="auto"/>
                <w:sz w:val="24"/>
              </w:rPr>
              <w:t>时长</w:t>
            </w:r>
          </w:p>
        </w:tc>
        <w:tc>
          <w:tcPr>
            <w:tcW w:w="28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5474A79">
            <w:pPr>
              <w:snapToGrid/>
              <w:spacing w:line="240" w:lineRule="auto"/>
              <w:jc w:val="center"/>
              <w:rPr>
                <w:rFonts w:ascii="宋体" w:hAnsi="宋体" w:eastAsia="宋体"/>
                <w:color w:val="auto"/>
                <w:sz w:val="24"/>
              </w:rPr>
            </w:pPr>
            <w:r>
              <w:rPr>
                <w:rFonts w:ascii="宋体" w:hAnsi="宋体" w:eastAsia="宋体" w:cs="仿宋_GB2312"/>
                <w:b/>
                <w:color w:val="auto"/>
                <w:sz w:val="24"/>
              </w:rPr>
              <w:t>考核内容</w:t>
            </w:r>
          </w:p>
        </w:tc>
      </w:tr>
      <w:tr w14:paraId="3DF1C11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B1E8D7">
            <w:pPr>
              <w:snapToGrid/>
              <w:spacing w:line="240" w:lineRule="auto"/>
              <w:jc w:val="center"/>
              <w:rPr>
                <w:rFonts w:ascii="宋体" w:hAnsi="宋体" w:eastAsia="宋体"/>
                <w:color w:val="auto"/>
                <w:sz w:val="24"/>
              </w:rPr>
            </w:pPr>
            <w:r>
              <w:rPr>
                <w:rFonts w:ascii="宋体" w:hAnsi="宋体" w:eastAsia="宋体" w:cs="仿宋_GB2312"/>
                <w:color w:val="auto"/>
                <w:sz w:val="24"/>
              </w:rPr>
              <w:t>理论阶段</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C2064E">
            <w:pPr>
              <w:snapToGrid/>
              <w:spacing w:line="240" w:lineRule="auto"/>
              <w:jc w:val="center"/>
              <w:rPr>
                <w:rFonts w:ascii="宋体" w:hAnsi="宋体" w:eastAsia="宋体"/>
                <w:color w:val="auto"/>
                <w:sz w:val="24"/>
              </w:rPr>
            </w:pPr>
            <w:r>
              <w:rPr>
                <w:rFonts w:ascii="宋体" w:hAnsi="宋体" w:eastAsia="宋体" w:cs="仿宋_GB2312"/>
                <w:color w:val="auto"/>
                <w:sz w:val="24"/>
              </w:rPr>
              <w:t>理论</w:t>
            </w:r>
          </w:p>
        </w:tc>
        <w:tc>
          <w:tcPr>
            <w:tcW w:w="14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B4A4CA">
            <w:pPr>
              <w:snapToGrid/>
              <w:spacing w:line="240" w:lineRule="auto"/>
              <w:jc w:val="center"/>
              <w:rPr>
                <w:rFonts w:ascii="宋体" w:hAnsi="宋体" w:eastAsia="宋体"/>
                <w:color w:val="auto"/>
                <w:sz w:val="24"/>
              </w:rPr>
            </w:pPr>
            <w:r>
              <w:rPr>
                <w:rFonts w:ascii="宋体" w:hAnsi="宋体" w:eastAsia="宋体" w:cs="仿宋_GB2312"/>
                <w:color w:val="auto"/>
                <w:sz w:val="24"/>
              </w:rPr>
              <w:t>20%</w:t>
            </w:r>
          </w:p>
        </w:tc>
        <w:tc>
          <w:tcPr>
            <w:tcW w:w="14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D366FC">
            <w:pPr>
              <w:snapToGrid/>
              <w:spacing w:line="240" w:lineRule="auto"/>
              <w:jc w:val="center"/>
              <w:rPr>
                <w:rFonts w:ascii="宋体" w:hAnsi="宋体" w:eastAsia="宋体"/>
                <w:color w:val="auto"/>
                <w:sz w:val="24"/>
              </w:rPr>
            </w:pPr>
            <w:r>
              <w:rPr>
                <w:rFonts w:ascii="宋体" w:hAnsi="宋体" w:eastAsia="宋体" w:cs="仿宋_GB2312"/>
                <w:color w:val="auto"/>
                <w:sz w:val="24"/>
              </w:rPr>
              <w:t>60分钟</w:t>
            </w: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FF3782D">
            <w:pPr>
              <w:snapToGrid/>
              <w:spacing w:line="240" w:lineRule="auto"/>
              <w:rPr>
                <w:rFonts w:ascii="宋体" w:hAnsi="宋体" w:eastAsia="宋体"/>
                <w:color w:val="auto"/>
                <w:sz w:val="24"/>
              </w:rPr>
            </w:pPr>
            <w:r>
              <w:rPr>
                <w:rFonts w:ascii="宋体" w:hAnsi="宋体" w:eastAsia="宋体" w:cs="仿宋_GB2312"/>
                <w:color w:val="auto"/>
                <w:sz w:val="24"/>
              </w:rPr>
              <w:t>参赛选手在工业大数据方面基础知识考核。</w:t>
            </w:r>
          </w:p>
        </w:tc>
      </w:tr>
      <w:tr w14:paraId="1B7F9BC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2A989248">
            <w:pPr>
              <w:snapToGrid/>
              <w:spacing w:line="240" w:lineRule="auto"/>
              <w:jc w:val="center"/>
              <w:rPr>
                <w:rFonts w:ascii="宋体" w:hAnsi="宋体" w:eastAsia="宋体"/>
                <w:color w:val="auto"/>
                <w:sz w:val="24"/>
              </w:rPr>
            </w:pPr>
            <w:r>
              <w:rPr>
                <w:rFonts w:ascii="宋体" w:hAnsi="宋体" w:eastAsia="宋体" w:cs="仿宋_GB2312"/>
                <w:color w:val="auto"/>
                <w:sz w:val="24"/>
              </w:rPr>
              <w:t>实操阶段</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EA776C">
            <w:pPr>
              <w:snapToGrid/>
              <w:spacing w:line="240" w:lineRule="auto"/>
              <w:jc w:val="center"/>
              <w:rPr>
                <w:rFonts w:ascii="宋体" w:hAnsi="宋体" w:eastAsia="宋体"/>
                <w:color w:val="auto"/>
                <w:sz w:val="24"/>
              </w:rPr>
            </w:pPr>
            <w:r>
              <w:rPr>
                <w:rFonts w:hint="eastAsia" w:ascii="宋体" w:hAnsi="宋体" w:eastAsia="宋体" w:cs="仿宋_GB2312"/>
                <w:color w:val="auto"/>
                <w:sz w:val="24"/>
              </w:rPr>
              <w:t>工业数据建模</w:t>
            </w:r>
          </w:p>
        </w:tc>
        <w:tc>
          <w:tcPr>
            <w:tcW w:w="1425" w:type="dxa"/>
            <w:vMerge w:val="restart"/>
            <w:tcBorders>
              <w:top w:val="single" w:color="CBCDD1" w:sz="6" w:space="0"/>
              <w:left w:val="single" w:color="000000" w:sz="6" w:space="0"/>
              <w:right w:val="single" w:color="000000" w:sz="6" w:space="0"/>
            </w:tcBorders>
            <w:tcMar>
              <w:top w:w="0" w:type="dxa"/>
              <w:left w:w="108" w:type="dxa"/>
              <w:bottom w:w="0" w:type="dxa"/>
              <w:right w:w="108" w:type="dxa"/>
            </w:tcMar>
            <w:vAlign w:val="center"/>
          </w:tcPr>
          <w:p w14:paraId="5DEAA06D">
            <w:pPr>
              <w:snapToGrid/>
              <w:spacing w:line="240" w:lineRule="auto"/>
              <w:jc w:val="center"/>
              <w:rPr>
                <w:rFonts w:ascii="宋体" w:hAnsi="宋体" w:eastAsia="宋体"/>
                <w:color w:val="auto"/>
                <w:sz w:val="24"/>
              </w:rPr>
            </w:pPr>
            <w:r>
              <w:rPr>
                <w:rFonts w:hint="eastAsia" w:ascii="宋体" w:hAnsi="宋体" w:eastAsia="宋体"/>
                <w:color w:val="auto"/>
                <w:sz w:val="24"/>
              </w:rPr>
              <w:t>80%</w:t>
            </w:r>
          </w:p>
        </w:tc>
        <w:tc>
          <w:tcPr>
            <w:tcW w:w="1425" w:type="dxa"/>
            <w:vMerge w:val="restar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DEB3C1C">
            <w:pPr>
              <w:snapToGrid/>
              <w:spacing w:line="240" w:lineRule="auto"/>
              <w:jc w:val="center"/>
              <w:rPr>
                <w:rFonts w:ascii="宋体" w:hAnsi="宋体" w:eastAsia="宋体"/>
                <w:color w:val="auto"/>
                <w:sz w:val="24"/>
              </w:rPr>
            </w:pPr>
            <w:r>
              <w:rPr>
                <w:rFonts w:ascii="宋体" w:hAnsi="宋体" w:eastAsia="宋体" w:cs="仿宋_GB2312"/>
                <w:color w:val="auto"/>
                <w:sz w:val="24"/>
              </w:rPr>
              <w:t>180分钟</w:t>
            </w: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264B83D">
            <w:pPr>
              <w:snapToGrid/>
              <w:spacing w:line="240" w:lineRule="auto"/>
              <w:rPr>
                <w:rFonts w:ascii="宋体" w:hAnsi="宋体" w:eastAsia="宋体"/>
                <w:color w:val="auto"/>
                <w:sz w:val="24"/>
              </w:rPr>
            </w:pPr>
            <w:r>
              <w:rPr>
                <w:rFonts w:ascii="宋体" w:hAnsi="宋体" w:eastAsia="宋体" w:cs="仿宋_GB2312"/>
                <w:color w:val="auto"/>
                <w:sz w:val="24"/>
              </w:rPr>
              <w:t>选手通过平台上传数据文件，创建待分析测点，替换或追加数据，形成一套分析数据集。</w:t>
            </w:r>
          </w:p>
        </w:tc>
      </w:tr>
      <w:tr w14:paraId="4F338AE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continue"/>
            <w:tcBorders>
              <w:left w:val="single" w:color="000000" w:sz="6" w:space="0"/>
              <w:right w:val="single" w:color="000000" w:sz="6" w:space="0"/>
            </w:tcBorders>
            <w:tcMar>
              <w:top w:w="0" w:type="dxa"/>
              <w:left w:w="108" w:type="dxa"/>
              <w:bottom w:w="0" w:type="dxa"/>
              <w:right w:w="108" w:type="dxa"/>
            </w:tcMar>
            <w:vAlign w:val="center"/>
          </w:tcPr>
          <w:p w14:paraId="56000D18">
            <w:pPr>
              <w:snapToGrid/>
              <w:spacing w:line="240" w:lineRule="auto"/>
              <w:rPr>
                <w:rFonts w:ascii="宋体" w:hAnsi="宋体" w:eastAsia="宋体"/>
                <w:color w:val="auto"/>
                <w:sz w:val="24"/>
              </w:rPr>
            </w:pP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B2B785">
            <w:pPr>
              <w:snapToGrid/>
              <w:spacing w:line="240" w:lineRule="auto"/>
              <w:jc w:val="center"/>
              <w:rPr>
                <w:rFonts w:ascii="宋体" w:hAnsi="宋体" w:eastAsia="宋体"/>
                <w:color w:val="auto"/>
                <w:sz w:val="24"/>
              </w:rPr>
            </w:pPr>
            <w:r>
              <w:rPr>
                <w:rFonts w:hint="eastAsia" w:ascii="宋体" w:hAnsi="宋体" w:eastAsia="宋体" w:cs="仿宋_GB2312"/>
                <w:color w:val="auto"/>
                <w:sz w:val="24"/>
              </w:rPr>
              <w:t>数据可视化分析</w:t>
            </w:r>
          </w:p>
        </w:tc>
        <w:tc>
          <w:tcPr>
            <w:tcW w:w="1425" w:type="dxa"/>
            <w:vMerge w:val="continue"/>
            <w:tcBorders>
              <w:left w:val="single" w:color="000000" w:sz="6" w:space="0"/>
              <w:right w:val="single" w:color="000000" w:sz="6" w:space="0"/>
            </w:tcBorders>
            <w:tcMar>
              <w:top w:w="0" w:type="dxa"/>
              <w:left w:w="108" w:type="dxa"/>
              <w:bottom w:w="0" w:type="dxa"/>
              <w:right w:w="108" w:type="dxa"/>
            </w:tcMar>
            <w:vAlign w:val="center"/>
          </w:tcPr>
          <w:p w14:paraId="5D9DAC3D">
            <w:pPr>
              <w:snapToGrid/>
              <w:spacing w:line="240" w:lineRule="auto"/>
              <w:jc w:val="center"/>
              <w:rPr>
                <w:rFonts w:ascii="宋体" w:hAnsi="宋体" w:eastAsia="宋体"/>
                <w:color w:val="auto"/>
                <w:sz w:val="24"/>
              </w:rPr>
            </w:pPr>
          </w:p>
        </w:tc>
        <w:tc>
          <w:tcPr>
            <w:tcW w:w="1425"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3880A2F8">
            <w:pPr>
              <w:snapToGrid/>
              <w:spacing w:line="240" w:lineRule="auto"/>
              <w:rPr>
                <w:rFonts w:ascii="宋体" w:hAnsi="宋体" w:eastAsia="宋体"/>
                <w:color w:val="auto"/>
                <w:sz w:val="24"/>
              </w:rPr>
            </w:pP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0F9F652">
            <w:pPr>
              <w:snapToGrid/>
              <w:spacing w:line="240" w:lineRule="auto"/>
              <w:rPr>
                <w:rFonts w:ascii="宋体" w:hAnsi="宋体" w:eastAsia="宋体"/>
                <w:color w:val="auto"/>
                <w:sz w:val="24"/>
              </w:rPr>
            </w:pPr>
            <w:r>
              <w:rPr>
                <w:rFonts w:ascii="宋体" w:hAnsi="宋体" w:eastAsia="宋体" w:cs="仿宋_GB2312"/>
                <w:color w:val="auto"/>
                <w:sz w:val="24"/>
              </w:rPr>
              <w:t>选手对工业数据管理与分析平台的应用和对业务问题的理解，通过过滤、公式计算等方式完成数据清洗等操作。</w:t>
            </w:r>
          </w:p>
        </w:tc>
      </w:tr>
      <w:tr w14:paraId="364F6DA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continue"/>
            <w:tcBorders>
              <w:left w:val="single" w:color="000000" w:sz="6" w:space="0"/>
              <w:right w:val="single" w:color="000000" w:sz="6" w:space="0"/>
            </w:tcBorders>
            <w:tcMar>
              <w:top w:w="0" w:type="dxa"/>
              <w:left w:w="108" w:type="dxa"/>
              <w:bottom w:w="0" w:type="dxa"/>
              <w:right w:w="108" w:type="dxa"/>
            </w:tcMar>
            <w:vAlign w:val="center"/>
          </w:tcPr>
          <w:p w14:paraId="127D9F98">
            <w:pPr>
              <w:snapToGrid/>
              <w:spacing w:line="240" w:lineRule="auto"/>
              <w:rPr>
                <w:rFonts w:ascii="宋体" w:hAnsi="宋体" w:eastAsia="宋体"/>
                <w:color w:val="auto"/>
                <w:sz w:val="24"/>
              </w:rPr>
            </w:pP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BF016E">
            <w:pPr>
              <w:snapToGrid/>
              <w:spacing w:line="240" w:lineRule="auto"/>
              <w:jc w:val="center"/>
              <w:rPr>
                <w:rFonts w:ascii="宋体" w:hAnsi="宋体" w:eastAsia="宋体"/>
                <w:color w:val="auto"/>
                <w:sz w:val="24"/>
              </w:rPr>
            </w:pPr>
            <w:r>
              <w:rPr>
                <w:rFonts w:hint="eastAsia" w:ascii="宋体" w:hAnsi="宋体" w:eastAsia="宋体" w:cs="仿宋_GB2312"/>
                <w:color w:val="auto"/>
                <w:sz w:val="24"/>
              </w:rPr>
              <w:t>数据报警分析</w:t>
            </w:r>
          </w:p>
        </w:tc>
        <w:tc>
          <w:tcPr>
            <w:tcW w:w="1425" w:type="dxa"/>
            <w:vMerge w:val="continue"/>
            <w:tcBorders>
              <w:left w:val="single" w:color="000000" w:sz="6" w:space="0"/>
              <w:right w:val="single" w:color="000000" w:sz="6" w:space="0"/>
            </w:tcBorders>
            <w:tcMar>
              <w:top w:w="0" w:type="dxa"/>
              <w:left w:w="108" w:type="dxa"/>
              <w:bottom w:w="0" w:type="dxa"/>
              <w:right w:w="108" w:type="dxa"/>
            </w:tcMar>
            <w:vAlign w:val="center"/>
          </w:tcPr>
          <w:p w14:paraId="20843FF0">
            <w:pPr>
              <w:snapToGrid/>
              <w:spacing w:line="240" w:lineRule="auto"/>
              <w:jc w:val="center"/>
              <w:rPr>
                <w:rFonts w:ascii="宋体" w:hAnsi="宋体" w:eastAsia="宋体"/>
                <w:color w:val="auto"/>
                <w:sz w:val="24"/>
              </w:rPr>
            </w:pPr>
          </w:p>
        </w:tc>
        <w:tc>
          <w:tcPr>
            <w:tcW w:w="1425"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5674D208">
            <w:pPr>
              <w:snapToGrid/>
              <w:spacing w:line="240" w:lineRule="auto"/>
              <w:rPr>
                <w:rFonts w:ascii="宋体" w:hAnsi="宋体" w:eastAsia="宋体"/>
                <w:color w:val="auto"/>
                <w:sz w:val="24"/>
              </w:rPr>
            </w:pP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A70C571">
            <w:pPr>
              <w:snapToGrid/>
              <w:spacing w:line="240" w:lineRule="auto"/>
              <w:rPr>
                <w:rFonts w:ascii="宋体" w:hAnsi="宋体" w:eastAsia="宋体"/>
                <w:color w:val="auto"/>
                <w:sz w:val="24"/>
              </w:rPr>
            </w:pPr>
            <w:r>
              <w:rPr>
                <w:rFonts w:ascii="宋体" w:hAnsi="宋体" w:eastAsia="宋体" w:cs="仿宋_GB2312"/>
                <w:color w:val="auto"/>
                <w:sz w:val="24"/>
              </w:rPr>
              <w:t>选手对数据进行基于模式的搜索和挖掘分析。</w:t>
            </w:r>
          </w:p>
        </w:tc>
      </w:tr>
      <w:tr w14:paraId="4AA9014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66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21458FAC">
            <w:pPr>
              <w:snapToGrid/>
              <w:spacing w:line="240" w:lineRule="auto"/>
              <w:jc w:val="center"/>
              <w:rPr>
                <w:rFonts w:ascii="宋体" w:hAnsi="宋体" w:eastAsia="宋体"/>
                <w:color w:val="auto"/>
                <w:sz w:val="24"/>
              </w:rPr>
            </w:pP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D58732">
            <w:pPr>
              <w:snapToGrid/>
              <w:spacing w:line="240" w:lineRule="auto"/>
              <w:jc w:val="center"/>
              <w:rPr>
                <w:rFonts w:ascii="宋体" w:hAnsi="宋体" w:eastAsia="宋体"/>
                <w:color w:val="auto"/>
                <w:sz w:val="24"/>
              </w:rPr>
            </w:pPr>
            <w:r>
              <w:rPr>
                <w:rFonts w:ascii="宋体" w:hAnsi="宋体" w:eastAsia="宋体" w:cs="仿宋_GB2312"/>
                <w:color w:val="auto"/>
                <w:sz w:val="24"/>
              </w:rPr>
              <w:t>职业素养</w:t>
            </w:r>
          </w:p>
        </w:tc>
        <w:tc>
          <w:tcPr>
            <w:tcW w:w="142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576A363D">
            <w:pPr>
              <w:snapToGrid/>
              <w:spacing w:line="240" w:lineRule="auto"/>
              <w:jc w:val="center"/>
              <w:rPr>
                <w:rFonts w:ascii="宋体" w:hAnsi="宋体" w:eastAsia="宋体"/>
                <w:color w:val="auto"/>
                <w:sz w:val="24"/>
              </w:rPr>
            </w:pPr>
          </w:p>
        </w:tc>
        <w:tc>
          <w:tcPr>
            <w:tcW w:w="1425"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041D9A02">
            <w:pPr>
              <w:snapToGrid/>
              <w:spacing w:line="240" w:lineRule="auto"/>
              <w:rPr>
                <w:rFonts w:ascii="宋体" w:hAnsi="宋体" w:eastAsia="宋体"/>
                <w:color w:val="auto"/>
                <w:sz w:val="24"/>
              </w:rPr>
            </w:pPr>
          </w:p>
        </w:tc>
        <w:tc>
          <w:tcPr>
            <w:tcW w:w="28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1A3C2A">
            <w:pPr>
              <w:snapToGrid/>
              <w:spacing w:line="240" w:lineRule="auto"/>
              <w:rPr>
                <w:rFonts w:ascii="宋体" w:hAnsi="宋体" w:eastAsia="宋体"/>
                <w:color w:val="auto"/>
                <w:sz w:val="24"/>
              </w:rPr>
            </w:pPr>
            <w:r>
              <w:rPr>
                <w:rFonts w:ascii="宋体" w:hAnsi="宋体" w:eastAsia="宋体" w:cs="仿宋_GB2312"/>
                <w:color w:val="auto"/>
                <w:sz w:val="24"/>
              </w:rPr>
              <w:t>参赛选手的参赛规范、文明竞赛。</w:t>
            </w:r>
          </w:p>
        </w:tc>
      </w:tr>
    </w:tbl>
    <w:p w14:paraId="3C092C67">
      <w:pPr>
        <w:pStyle w:val="3"/>
        <w:snapToGrid/>
        <w:spacing w:before="447" w:line="192" w:lineRule="auto"/>
        <w:ind w:firstLine="607"/>
        <w:rPr>
          <w:rFonts w:hint="eastAsia"/>
          <w:color w:val="auto"/>
        </w:rPr>
      </w:pPr>
      <w:bookmarkStart w:id="4" w:name="_Toc981324757"/>
      <w:r>
        <w:rPr>
          <w:rFonts w:ascii="楷体" w:hAnsi="楷体" w:eastAsia="楷体" w:cs="楷体"/>
          <w:color w:val="auto"/>
          <w:sz w:val="30"/>
        </w:rPr>
        <w:t>（二） 竞赛形式</w:t>
      </w:r>
      <w:bookmarkEnd w:id="4"/>
    </w:p>
    <w:p w14:paraId="055BC5F3">
      <w:pPr>
        <w:snapToGrid/>
        <w:spacing w:before="272" w:line="360" w:lineRule="auto"/>
        <w:ind w:left="6" w:right="85" w:firstLine="561"/>
        <w:jc w:val="both"/>
        <w:rPr>
          <w:color w:val="auto"/>
        </w:rPr>
      </w:pPr>
      <w:r>
        <w:rPr>
          <w:rFonts w:ascii="仿宋_GB2312" w:hAnsi="仿宋_GB2312" w:eastAsia="仿宋_GB2312" w:cs="仿宋_GB2312"/>
          <w:color w:val="auto"/>
          <w:spacing w:val="-3"/>
        </w:rPr>
        <w:t>本次竞赛形式为线下比赛，分为职工组（含教师）和学生组，各组别均为单人赛，不得跨单位组队。每单位每组别最多报2个队伍。</w:t>
      </w:r>
    </w:p>
    <w:p w14:paraId="45BC9DFC">
      <w:pPr>
        <w:pStyle w:val="3"/>
        <w:snapToGrid/>
        <w:spacing w:before="447" w:line="192" w:lineRule="auto"/>
        <w:ind w:firstLine="607"/>
        <w:rPr>
          <w:rFonts w:hint="eastAsia"/>
          <w:color w:val="auto"/>
        </w:rPr>
      </w:pPr>
      <w:bookmarkStart w:id="5" w:name="_Toc450781939"/>
      <w:r>
        <w:rPr>
          <w:rFonts w:ascii="楷体" w:hAnsi="楷体" w:eastAsia="楷体" w:cs="楷体"/>
          <w:color w:val="auto"/>
          <w:sz w:val="30"/>
        </w:rPr>
        <w:t>（三） 报名条件</w:t>
      </w:r>
      <w:bookmarkEnd w:id="5"/>
    </w:p>
    <w:p w14:paraId="0FB06FB5">
      <w:pPr>
        <w:snapToGrid/>
        <w:spacing w:before="272" w:line="360" w:lineRule="auto"/>
        <w:ind w:left="6" w:right="85" w:firstLine="561"/>
        <w:jc w:val="both"/>
        <w:rPr>
          <w:color w:val="auto"/>
          <w:szCs w:val="28"/>
        </w:rPr>
      </w:pPr>
      <w:r>
        <w:rPr>
          <w:rFonts w:ascii="仿宋_GB2312" w:hAnsi="仿宋_GB2312" w:eastAsia="仿宋_GB2312" w:cs="仿宋_GB2312"/>
          <w:color w:val="auto"/>
          <w:spacing w:val="-3"/>
          <w:szCs w:val="28"/>
        </w:rPr>
        <w:t>具有工业大数据相关职业工作经历的企业在职人员，从事相关专业工作的高等院校、职业院校（含技工院校，下同）在职人员，以及高等院校、职业院校相关专业全日制在籍学生均可报名参赛。</w:t>
      </w:r>
    </w:p>
    <w:p w14:paraId="24693CE9">
      <w:pPr>
        <w:snapToGrid/>
        <w:spacing w:before="272" w:line="360" w:lineRule="auto"/>
        <w:ind w:left="6" w:right="85" w:firstLine="561"/>
        <w:jc w:val="both"/>
        <w:rPr>
          <w:color w:val="auto"/>
        </w:rPr>
      </w:pPr>
      <w:r>
        <w:rPr>
          <w:rFonts w:ascii="仿宋_GB2312" w:hAnsi="仿宋_GB2312" w:eastAsia="仿宋_GB2312" w:cs="仿宋_GB2312"/>
          <w:color w:val="auto"/>
          <w:spacing w:val="-3"/>
        </w:rPr>
        <w:t>已获得“中华技能大奖”、“全国技术能手”称号及取得“全国技术能手”申报资格的人员，不得以选手身份参赛。具有全日制学籍的在校创业学生不得以职工身份参赛。</w:t>
      </w:r>
    </w:p>
    <w:p w14:paraId="06959AF6">
      <w:pPr>
        <w:pStyle w:val="3"/>
        <w:snapToGrid/>
        <w:spacing w:before="447" w:line="192" w:lineRule="auto"/>
        <w:ind w:firstLine="607"/>
        <w:rPr>
          <w:rFonts w:hint="eastAsia"/>
          <w:color w:val="auto"/>
        </w:rPr>
      </w:pPr>
      <w:bookmarkStart w:id="6" w:name="_Toc2117225804"/>
      <w:r>
        <w:rPr>
          <w:rFonts w:ascii="楷体" w:hAnsi="楷体" w:eastAsia="楷体" w:cs="楷体"/>
          <w:color w:val="auto"/>
          <w:sz w:val="30"/>
        </w:rPr>
        <w:t>（四） 成绩计算</w:t>
      </w:r>
      <w:bookmarkEnd w:id="6"/>
    </w:p>
    <w:p w14:paraId="3BC1639B">
      <w:pPr>
        <w:snapToGrid/>
        <w:spacing w:before="272" w:line="360" w:lineRule="auto"/>
        <w:ind w:left="6" w:right="85" w:firstLine="561"/>
        <w:jc w:val="both"/>
        <w:rPr>
          <w:color w:val="auto"/>
        </w:rPr>
      </w:pPr>
      <w:r>
        <w:rPr>
          <w:rFonts w:ascii="仿宋_GB2312" w:hAnsi="仿宋_GB2312" w:eastAsia="仿宋_GB2312" w:cs="仿宋_GB2312"/>
          <w:color w:val="auto"/>
          <w:spacing w:val="-3"/>
        </w:rPr>
        <w:t>理论考试竞赛满分为20分，赛题均为客观题，赛题数量为200道，采用机考方式实现。实操部分和职业素养满分为80分计入竞赛总成绩。理论考试成绩、实践操作成绩和职业素养相加得出参赛选手竞赛总成绩，满分为100分。</w:t>
      </w:r>
    </w:p>
    <w:p w14:paraId="24A56481">
      <w:pPr>
        <w:snapToGrid/>
        <w:spacing w:line="36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2</w:t>
      </w:r>
      <w:r>
        <w:rPr>
          <w:color w:val="auto"/>
        </w:rPr>
        <w:fldChar w:fldCharType="end"/>
      </w:r>
      <w:r>
        <w:rPr>
          <w:rFonts w:ascii="黑体" w:hAnsi="黑体" w:eastAsia="黑体" w:cs="黑体"/>
          <w:color w:val="auto"/>
          <w:sz w:val="24"/>
        </w:rPr>
        <w:t>各模块分值</w:t>
      </w:r>
    </w:p>
    <w:tbl>
      <w:tblPr>
        <w:tblStyle w:val="1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00"/>
        <w:gridCol w:w="1455"/>
        <w:gridCol w:w="4020"/>
        <w:gridCol w:w="1440"/>
        <w:gridCol w:w="900"/>
      </w:tblGrid>
      <w:tr w14:paraId="0585294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2" w:hRule="atLeast"/>
        </w:trPr>
        <w:tc>
          <w:tcPr>
            <w:tcW w:w="265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BFC053">
            <w:pPr>
              <w:snapToGrid/>
              <w:spacing w:line="240" w:lineRule="auto"/>
              <w:jc w:val="center"/>
              <w:rPr>
                <w:rFonts w:ascii="宋体" w:hAnsi="宋体" w:eastAsia="宋体"/>
                <w:color w:val="auto"/>
              </w:rPr>
            </w:pPr>
            <w:r>
              <w:rPr>
                <w:rFonts w:ascii="宋体" w:hAnsi="宋体" w:eastAsia="宋体" w:cs="仿宋GB"/>
                <w:color w:val="auto"/>
                <w:sz w:val="24"/>
              </w:rPr>
              <w:t>模块</w:t>
            </w:r>
          </w:p>
        </w:tc>
        <w:tc>
          <w:tcPr>
            <w:tcW w:w="40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796C242">
            <w:pPr>
              <w:snapToGrid/>
              <w:spacing w:line="240" w:lineRule="auto"/>
              <w:jc w:val="center"/>
              <w:rPr>
                <w:rFonts w:ascii="宋体" w:hAnsi="宋体" w:eastAsia="宋体"/>
                <w:color w:val="auto"/>
              </w:rPr>
            </w:pPr>
            <w:r>
              <w:rPr>
                <w:rFonts w:ascii="宋体" w:hAnsi="宋体" w:eastAsia="宋体" w:cs="仿宋GB"/>
                <w:color w:val="auto"/>
                <w:sz w:val="24"/>
              </w:rPr>
              <w:t>主要内容</w:t>
            </w:r>
          </w:p>
        </w:tc>
        <w:tc>
          <w:tcPr>
            <w:tcW w:w="14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7930AA">
            <w:pPr>
              <w:snapToGrid/>
              <w:spacing w:line="240" w:lineRule="auto"/>
              <w:jc w:val="center"/>
              <w:rPr>
                <w:rFonts w:ascii="宋体" w:hAnsi="宋体" w:eastAsia="宋体"/>
                <w:color w:val="auto"/>
              </w:rPr>
            </w:pPr>
            <w:r>
              <w:rPr>
                <w:rFonts w:ascii="宋体" w:hAnsi="宋体" w:eastAsia="宋体" w:cs="仿宋GB"/>
                <w:color w:val="auto"/>
                <w:sz w:val="24"/>
              </w:rPr>
              <w:t>比赛时长</w:t>
            </w:r>
          </w:p>
        </w:tc>
        <w:tc>
          <w:tcPr>
            <w:tcW w:w="9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4D4FD1">
            <w:pPr>
              <w:snapToGrid/>
              <w:spacing w:line="240" w:lineRule="auto"/>
              <w:jc w:val="center"/>
              <w:rPr>
                <w:rFonts w:ascii="宋体" w:hAnsi="宋体" w:eastAsia="宋体"/>
                <w:color w:val="auto"/>
              </w:rPr>
            </w:pPr>
            <w:r>
              <w:rPr>
                <w:rFonts w:ascii="宋体" w:hAnsi="宋体" w:eastAsia="宋体" w:cs="仿宋GB"/>
                <w:color w:val="auto"/>
                <w:sz w:val="24"/>
              </w:rPr>
              <w:t>分值</w:t>
            </w:r>
          </w:p>
        </w:tc>
      </w:tr>
      <w:tr w14:paraId="48096CF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FB2FEFC">
            <w:pPr>
              <w:snapToGrid/>
              <w:spacing w:line="240" w:lineRule="auto"/>
              <w:jc w:val="center"/>
              <w:rPr>
                <w:rFonts w:ascii="宋体" w:hAnsi="宋体" w:eastAsia="宋体"/>
                <w:color w:val="auto"/>
              </w:rPr>
            </w:pPr>
            <w:r>
              <w:rPr>
                <w:rFonts w:ascii="宋体" w:hAnsi="宋体" w:eastAsia="宋体" w:cs="仿宋GB"/>
                <w:color w:val="auto"/>
                <w:sz w:val="24"/>
              </w:rPr>
              <w:t>理论模块</w:t>
            </w:r>
          </w:p>
        </w:tc>
        <w:tc>
          <w:tcPr>
            <w:tcW w:w="14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81DDF43">
            <w:pPr>
              <w:snapToGrid/>
              <w:spacing w:line="240" w:lineRule="auto"/>
              <w:jc w:val="center"/>
              <w:rPr>
                <w:rFonts w:ascii="宋体" w:hAnsi="宋体" w:eastAsia="宋体"/>
                <w:color w:val="auto"/>
              </w:rPr>
            </w:pPr>
            <w:r>
              <w:rPr>
                <w:rFonts w:ascii="宋体" w:hAnsi="宋体" w:eastAsia="宋体" w:cs="仿宋GB"/>
                <w:color w:val="auto"/>
                <w:sz w:val="24"/>
              </w:rPr>
              <w:t>理论题</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13CB4A">
            <w:pPr>
              <w:snapToGrid/>
              <w:spacing w:line="240" w:lineRule="auto"/>
              <w:rPr>
                <w:rFonts w:ascii="宋体" w:hAnsi="宋体" w:eastAsia="宋体"/>
                <w:color w:val="auto"/>
              </w:rPr>
            </w:pPr>
            <w:r>
              <w:rPr>
                <w:rFonts w:ascii="宋体" w:hAnsi="宋体" w:eastAsia="宋体" w:cs="仿宋GB"/>
                <w:color w:val="auto"/>
                <w:sz w:val="24"/>
              </w:rPr>
              <w:t>理论知识主要包括信息技术、数据库、大数据接口、大数据存储与处理、大数据分析、计算机软件开发规范、大数据管理、软件维护等方面知识。</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2CCAC1">
            <w:pPr>
              <w:snapToGrid/>
              <w:spacing w:line="240" w:lineRule="auto"/>
              <w:jc w:val="center"/>
              <w:rPr>
                <w:rFonts w:ascii="宋体" w:hAnsi="宋体" w:eastAsia="宋体"/>
                <w:color w:val="auto"/>
              </w:rPr>
            </w:pPr>
            <w:r>
              <w:rPr>
                <w:rFonts w:ascii="宋体" w:hAnsi="宋体" w:eastAsia="宋体" w:cs="仿宋GB"/>
                <w:color w:val="auto"/>
                <w:sz w:val="24"/>
              </w:rPr>
              <w:t>60分钟</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C40F868">
            <w:pPr>
              <w:snapToGrid/>
              <w:spacing w:line="240" w:lineRule="auto"/>
              <w:jc w:val="center"/>
              <w:rPr>
                <w:rFonts w:ascii="宋体" w:hAnsi="宋体" w:eastAsia="宋体"/>
                <w:color w:val="auto"/>
              </w:rPr>
            </w:pPr>
            <w:r>
              <w:rPr>
                <w:rFonts w:ascii="宋体" w:hAnsi="宋体" w:eastAsia="宋体" w:cs="仿宋GB"/>
                <w:color w:val="auto"/>
                <w:sz w:val="24"/>
              </w:rPr>
              <w:t>20</w:t>
            </w:r>
          </w:p>
        </w:tc>
      </w:tr>
      <w:tr w14:paraId="0BF3EC7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14:paraId="56DE89A0">
            <w:pPr>
              <w:snapToGrid/>
              <w:spacing w:line="240" w:lineRule="auto"/>
              <w:jc w:val="center"/>
              <w:rPr>
                <w:rFonts w:ascii="宋体" w:hAnsi="宋体" w:eastAsia="宋体"/>
                <w:color w:val="auto"/>
              </w:rPr>
            </w:pPr>
            <w:r>
              <w:rPr>
                <w:rFonts w:ascii="宋体" w:hAnsi="宋体" w:eastAsia="宋体" w:cs="仿宋GB"/>
                <w:color w:val="auto"/>
                <w:sz w:val="24"/>
              </w:rPr>
              <w:t>实操模块</w:t>
            </w:r>
          </w:p>
          <w:p w14:paraId="1C98CBE4">
            <w:pPr>
              <w:snapToGrid/>
              <w:spacing w:line="240" w:lineRule="auto"/>
              <w:jc w:val="center"/>
              <w:rPr>
                <w:rFonts w:ascii="宋体" w:hAnsi="宋体" w:eastAsia="宋体"/>
                <w:color w:val="auto"/>
              </w:rPr>
            </w:pPr>
            <w:r>
              <w:rPr>
                <w:rFonts w:ascii="宋体" w:hAnsi="宋体" w:eastAsia="宋体" w:cs="Calibri"/>
                <w:color w:val="auto"/>
                <w:sz w:val="24"/>
              </w:rPr>
              <w:t> </w:t>
            </w:r>
          </w:p>
        </w:tc>
        <w:tc>
          <w:tcPr>
            <w:tcW w:w="14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4A5F4B">
            <w:pPr>
              <w:snapToGrid/>
              <w:spacing w:line="240" w:lineRule="auto"/>
              <w:jc w:val="center"/>
              <w:rPr>
                <w:rFonts w:ascii="宋体" w:hAnsi="宋体" w:eastAsia="宋体"/>
                <w:color w:val="auto"/>
              </w:rPr>
            </w:pPr>
            <w:r>
              <w:rPr>
                <w:rFonts w:hint="eastAsia" w:ascii="宋体" w:hAnsi="宋体" w:eastAsia="宋体" w:cs="仿宋GB"/>
                <w:color w:val="auto"/>
                <w:sz w:val="24"/>
              </w:rPr>
              <w:t>工业数据建模</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6C422A8">
            <w:pPr>
              <w:snapToGrid/>
              <w:spacing w:line="240" w:lineRule="auto"/>
              <w:rPr>
                <w:rFonts w:ascii="宋体" w:hAnsi="宋体" w:eastAsia="宋体"/>
                <w:color w:val="auto"/>
              </w:rPr>
            </w:pPr>
            <w:r>
              <w:rPr>
                <w:rFonts w:hint="eastAsia" w:ascii="宋体" w:hAnsi="宋体" w:eastAsia="宋体" w:cs="仿宋GB"/>
                <w:color w:val="auto"/>
                <w:sz w:val="24"/>
              </w:rPr>
              <w:t>选手根据提供的设备测点在工业互联网平台完成设备数字化建模，实现模拟数据云平台实时展示。</w:t>
            </w:r>
          </w:p>
        </w:tc>
        <w:tc>
          <w:tcPr>
            <w:tcW w:w="1440" w:type="dxa"/>
            <w:vMerge w:val="restar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517FAC">
            <w:pPr>
              <w:snapToGrid/>
              <w:spacing w:line="240" w:lineRule="auto"/>
              <w:jc w:val="center"/>
              <w:rPr>
                <w:rFonts w:ascii="宋体" w:hAnsi="宋体" w:eastAsia="宋体"/>
                <w:color w:val="auto"/>
              </w:rPr>
            </w:pPr>
            <w:r>
              <w:rPr>
                <w:rFonts w:ascii="宋体" w:hAnsi="宋体" w:eastAsia="宋体" w:cs="仿宋GB"/>
                <w:color w:val="auto"/>
                <w:sz w:val="24"/>
              </w:rPr>
              <w:t>180分钟</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4588850">
            <w:pPr>
              <w:snapToGrid/>
              <w:spacing w:line="240" w:lineRule="auto"/>
              <w:jc w:val="center"/>
              <w:rPr>
                <w:rFonts w:ascii="宋体" w:hAnsi="宋体" w:eastAsia="宋体"/>
                <w:color w:val="auto"/>
              </w:rPr>
            </w:pPr>
            <w:r>
              <w:rPr>
                <w:rFonts w:hint="eastAsia" w:ascii="宋体" w:hAnsi="宋体" w:eastAsia="宋体" w:cs="仿宋GB"/>
                <w:color w:val="auto"/>
                <w:sz w:val="24"/>
              </w:rPr>
              <w:t>20</w:t>
            </w:r>
          </w:p>
        </w:tc>
      </w:tr>
      <w:tr w14:paraId="01141EE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continue"/>
            <w:tcBorders>
              <w:left w:val="single" w:color="000000" w:sz="6" w:space="0"/>
              <w:right w:val="single" w:color="000000" w:sz="6" w:space="0"/>
            </w:tcBorders>
            <w:tcMar>
              <w:top w:w="0" w:type="dxa"/>
              <w:left w:w="108" w:type="dxa"/>
              <w:bottom w:w="0" w:type="dxa"/>
              <w:right w:w="108" w:type="dxa"/>
            </w:tcMar>
            <w:vAlign w:val="center"/>
          </w:tcPr>
          <w:p w14:paraId="758BF3B3">
            <w:pPr>
              <w:snapToGrid/>
              <w:spacing w:line="240" w:lineRule="auto"/>
              <w:rPr>
                <w:rFonts w:ascii="宋体" w:hAnsi="宋体" w:eastAsia="宋体"/>
                <w:color w:val="auto"/>
              </w:rPr>
            </w:pPr>
          </w:p>
        </w:tc>
        <w:tc>
          <w:tcPr>
            <w:tcW w:w="14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7370C3E">
            <w:pPr>
              <w:snapToGrid/>
              <w:spacing w:line="240" w:lineRule="auto"/>
              <w:jc w:val="center"/>
              <w:rPr>
                <w:rFonts w:ascii="宋体" w:hAnsi="宋体" w:eastAsia="宋体"/>
                <w:color w:val="auto"/>
              </w:rPr>
            </w:pPr>
            <w:r>
              <w:rPr>
                <w:rFonts w:hint="eastAsia" w:ascii="宋体" w:hAnsi="宋体" w:eastAsia="宋体" w:cs="仿宋GB"/>
                <w:color w:val="auto"/>
                <w:sz w:val="24"/>
              </w:rPr>
              <w:t>数据可视化分析</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E8952E">
            <w:pPr>
              <w:snapToGrid/>
              <w:spacing w:line="240" w:lineRule="auto"/>
              <w:rPr>
                <w:rFonts w:ascii="宋体" w:hAnsi="宋体" w:eastAsia="宋体"/>
                <w:color w:val="auto"/>
              </w:rPr>
            </w:pPr>
            <w:r>
              <w:rPr>
                <w:rFonts w:ascii="宋体" w:hAnsi="宋体" w:eastAsia="宋体" w:cs="仿宋GB"/>
                <w:color w:val="auto"/>
                <w:sz w:val="24"/>
              </w:rPr>
              <w:t>选手</w:t>
            </w:r>
            <w:r>
              <w:rPr>
                <w:rFonts w:hint="eastAsia" w:ascii="宋体" w:hAnsi="宋体" w:eastAsia="宋体" w:cs="仿宋GB"/>
                <w:color w:val="auto"/>
                <w:sz w:val="24"/>
              </w:rPr>
              <w:t>将设备的实时数据通过可视化图表的方式进行展示与分析，监测设备生产状况。</w:t>
            </w:r>
          </w:p>
        </w:tc>
        <w:tc>
          <w:tcPr>
            <w:tcW w:w="1440"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380A9A46">
            <w:pPr>
              <w:snapToGrid/>
              <w:spacing w:line="240" w:lineRule="auto"/>
              <w:rPr>
                <w:rFonts w:ascii="宋体" w:hAnsi="宋体" w:eastAsia="宋体"/>
                <w:color w:val="auto"/>
              </w:rPr>
            </w:pP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BCD44F1">
            <w:pPr>
              <w:snapToGrid/>
              <w:spacing w:line="240" w:lineRule="auto"/>
              <w:jc w:val="center"/>
              <w:rPr>
                <w:rFonts w:ascii="宋体" w:hAnsi="宋体" w:eastAsia="宋体"/>
                <w:color w:val="auto"/>
              </w:rPr>
            </w:pPr>
            <w:r>
              <w:rPr>
                <w:rFonts w:hint="eastAsia" w:ascii="宋体" w:hAnsi="宋体" w:eastAsia="宋体" w:cs="仿宋GB"/>
                <w:color w:val="auto"/>
                <w:sz w:val="24"/>
              </w:rPr>
              <w:t>40</w:t>
            </w:r>
          </w:p>
        </w:tc>
      </w:tr>
      <w:tr w14:paraId="65E2A8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continue"/>
            <w:tcBorders>
              <w:left w:val="single" w:color="000000" w:sz="6" w:space="0"/>
              <w:right w:val="single" w:color="000000" w:sz="6" w:space="0"/>
            </w:tcBorders>
            <w:tcMar>
              <w:top w:w="0" w:type="dxa"/>
              <w:left w:w="108" w:type="dxa"/>
              <w:bottom w:w="0" w:type="dxa"/>
              <w:right w:w="108" w:type="dxa"/>
            </w:tcMar>
            <w:vAlign w:val="center"/>
          </w:tcPr>
          <w:p w14:paraId="47AA05CB">
            <w:pPr>
              <w:snapToGrid/>
              <w:spacing w:line="240" w:lineRule="auto"/>
              <w:rPr>
                <w:rFonts w:ascii="宋体" w:hAnsi="宋体" w:eastAsia="宋体"/>
                <w:color w:val="auto"/>
              </w:rPr>
            </w:pPr>
          </w:p>
        </w:tc>
        <w:tc>
          <w:tcPr>
            <w:tcW w:w="145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0F6BAA">
            <w:pPr>
              <w:snapToGrid/>
              <w:spacing w:line="240" w:lineRule="auto"/>
              <w:jc w:val="center"/>
              <w:rPr>
                <w:rFonts w:ascii="宋体" w:hAnsi="宋体" w:eastAsia="宋体"/>
                <w:color w:val="auto"/>
              </w:rPr>
            </w:pPr>
            <w:r>
              <w:rPr>
                <w:rFonts w:hint="eastAsia" w:ascii="宋体" w:hAnsi="宋体" w:eastAsia="宋体" w:cs="仿宋GB"/>
                <w:color w:val="auto"/>
                <w:sz w:val="24"/>
              </w:rPr>
              <w:t>数据报警分析</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3E8B9D">
            <w:pPr>
              <w:snapToGrid/>
              <w:spacing w:line="240" w:lineRule="auto"/>
              <w:rPr>
                <w:rFonts w:ascii="宋体" w:hAnsi="宋体" w:eastAsia="宋体"/>
                <w:color w:val="auto"/>
              </w:rPr>
            </w:pPr>
            <w:r>
              <w:rPr>
                <w:rFonts w:ascii="宋体" w:hAnsi="宋体" w:eastAsia="宋体" w:cs="仿宋GB"/>
                <w:color w:val="auto"/>
                <w:sz w:val="24"/>
              </w:rPr>
              <w:t>选手对</w:t>
            </w:r>
            <w:r>
              <w:rPr>
                <w:rFonts w:hint="eastAsia" w:ascii="宋体" w:hAnsi="宋体" w:eastAsia="宋体" w:cs="仿宋GB"/>
                <w:color w:val="auto"/>
                <w:sz w:val="24"/>
              </w:rPr>
              <w:t>设备指标完成报警规则创建，实时监测指标异常，分析数据异常情况</w:t>
            </w:r>
            <w:r>
              <w:rPr>
                <w:rFonts w:ascii="宋体" w:hAnsi="宋体" w:eastAsia="宋体" w:cs="仿宋GB"/>
                <w:color w:val="auto"/>
                <w:sz w:val="24"/>
              </w:rPr>
              <w:t>。</w:t>
            </w:r>
          </w:p>
        </w:tc>
        <w:tc>
          <w:tcPr>
            <w:tcW w:w="1440"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05E78B92">
            <w:pPr>
              <w:snapToGrid/>
              <w:spacing w:line="240" w:lineRule="auto"/>
              <w:rPr>
                <w:rFonts w:ascii="宋体" w:hAnsi="宋体" w:eastAsia="宋体"/>
                <w:color w:val="auto"/>
              </w:rPr>
            </w:pP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6E1C75">
            <w:pPr>
              <w:snapToGrid/>
              <w:spacing w:line="240" w:lineRule="auto"/>
              <w:jc w:val="center"/>
              <w:rPr>
                <w:rFonts w:ascii="宋体" w:hAnsi="宋体" w:eastAsia="宋体"/>
                <w:color w:val="auto"/>
              </w:rPr>
            </w:pPr>
            <w:r>
              <w:rPr>
                <w:rFonts w:hint="eastAsia" w:ascii="宋体" w:hAnsi="宋体" w:eastAsia="宋体" w:cs="仿宋GB"/>
                <w:color w:val="auto"/>
                <w:sz w:val="24"/>
              </w:rPr>
              <w:t>10</w:t>
            </w:r>
          </w:p>
        </w:tc>
      </w:tr>
      <w:tr w14:paraId="73BCCF8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74" w:hRule="atLeast"/>
        </w:trPr>
        <w:tc>
          <w:tcPr>
            <w:tcW w:w="1200"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14:paraId="3716F48A">
            <w:pPr>
              <w:snapToGrid/>
              <w:spacing w:line="240" w:lineRule="auto"/>
              <w:jc w:val="center"/>
              <w:rPr>
                <w:rFonts w:ascii="宋体" w:hAnsi="宋体" w:eastAsia="宋体"/>
                <w:color w:val="auto"/>
              </w:rPr>
            </w:pPr>
          </w:p>
        </w:tc>
        <w:tc>
          <w:tcPr>
            <w:tcW w:w="145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8797AF">
            <w:pPr>
              <w:snapToGrid/>
              <w:spacing w:line="240" w:lineRule="auto"/>
              <w:jc w:val="center"/>
              <w:rPr>
                <w:rFonts w:ascii="宋体" w:hAnsi="宋体" w:eastAsia="宋体"/>
                <w:color w:val="auto"/>
              </w:rPr>
            </w:pPr>
            <w:r>
              <w:rPr>
                <w:rFonts w:ascii="宋体" w:hAnsi="宋体" w:eastAsia="宋体" w:cs="仿宋GB"/>
                <w:color w:val="auto"/>
                <w:sz w:val="24"/>
              </w:rPr>
              <w:t>职业素养</w:t>
            </w:r>
          </w:p>
        </w:tc>
        <w:tc>
          <w:tcPr>
            <w:tcW w:w="40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63004C">
            <w:pPr>
              <w:snapToGrid/>
              <w:spacing w:line="240" w:lineRule="auto"/>
              <w:rPr>
                <w:rFonts w:ascii="宋体" w:hAnsi="宋体" w:eastAsia="宋体"/>
                <w:color w:val="auto"/>
              </w:rPr>
            </w:pPr>
            <w:r>
              <w:rPr>
                <w:rFonts w:ascii="宋体" w:hAnsi="宋体" w:eastAsia="宋体" w:cs="仿宋GB"/>
                <w:color w:val="auto"/>
                <w:sz w:val="24"/>
              </w:rPr>
              <w:t>参赛选手的参赛规范、文明竞赛。</w:t>
            </w:r>
          </w:p>
        </w:tc>
        <w:tc>
          <w:tcPr>
            <w:tcW w:w="1440" w:type="dxa"/>
            <w:vMerge w:val="continue"/>
            <w:tcBorders>
              <w:top w:val="single" w:color="CBCDD1" w:sz="6" w:space="0"/>
              <w:left w:val="single" w:color="CBCDD1" w:sz="6" w:space="0"/>
              <w:bottom w:val="single" w:color="000000" w:sz="6" w:space="0"/>
              <w:right w:val="single" w:color="000000" w:sz="6" w:space="0"/>
            </w:tcBorders>
            <w:tcMar>
              <w:top w:w="0" w:type="dxa"/>
              <w:left w:w="108" w:type="dxa"/>
              <w:bottom w:w="0" w:type="dxa"/>
              <w:right w:w="108" w:type="dxa"/>
            </w:tcMar>
            <w:vAlign w:val="center"/>
          </w:tcPr>
          <w:p w14:paraId="511ECF01">
            <w:pPr>
              <w:snapToGrid/>
              <w:spacing w:line="240" w:lineRule="auto"/>
              <w:rPr>
                <w:rFonts w:ascii="宋体" w:hAnsi="宋体" w:eastAsia="宋体"/>
                <w:color w:val="auto"/>
              </w:rPr>
            </w:pP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5CC6DDF">
            <w:pPr>
              <w:snapToGrid/>
              <w:spacing w:line="240" w:lineRule="auto"/>
              <w:jc w:val="center"/>
              <w:rPr>
                <w:rFonts w:ascii="宋体" w:hAnsi="宋体" w:eastAsia="宋体"/>
                <w:color w:val="auto"/>
              </w:rPr>
            </w:pPr>
            <w:r>
              <w:rPr>
                <w:rFonts w:ascii="宋体" w:hAnsi="宋体" w:eastAsia="宋体" w:cs="仿宋GB"/>
                <w:color w:val="auto"/>
                <w:sz w:val="24"/>
              </w:rPr>
              <w:t>10</w:t>
            </w:r>
          </w:p>
        </w:tc>
      </w:tr>
    </w:tbl>
    <w:p w14:paraId="14921DFA">
      <w:pPr>
        <w:snapToGrid/>
        <w:spacing w:line="240" w:lineRule="auto"/>
        <w:rPr>
          <w:color w:val="auto"/>
        </w:rPr>
      </w:pPr>
      <w:r>
        <w:rPr>
          <w:rFonts w:eastAsia="Arial"/>
          <w:color w:val="auto"/>
          <w:sz w:val="21"/>
        </w:rPr>
        <w:t> </w:t>
      </w:r>
    </w:p>
    <w:p w14:paraId="2454FB4D">
      <w:pPr>
        <w:pStyle w:val="2"/>
        <w:snapToGrid/>
        <w:spacing w:before="450" w:line="185" w:lineRule="auto"/>
        <w:rPr>
          <w:rFonts w:hint="eastAsia"/>
          <w:color w:val="auto"/>
        </w:rPr>
      </w:pPr>
      <w:bookmarkStart w:id="7" w:name="_Toc410057038"/>
      <w:r>
        <w:rPr>
          <w:rFonts w:ascii="黑体" w:hAnsi="黑体" w:eastAsia="黑体" w:cs="黑体"/>
          <w:color w:val="auto"/>
          <w:sz w:val="30"/>
        </w:rPr>
        <w:t>四、奖励办法</w:t>
      </w:r>
      <w:bookmarkEnd w:id="7"/>
    </w:p>
    <w:p w14:paraId="237D1939">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1．赛项设置一二三等奖及优胜奖，颁发获奖证书，获奖比例分别为10%、20%、</w:t>
      </w:r>
      <w:r>
        <w:rPr>
          <w:rFonts w:hint="eastAsia" w:ascii="仿宋_GB2312" w:hAnsi="仿宋_GB2312" w:eastAsia="仿宋_GB2312" w:cs="仿宋_GB2312"/>
          <w:color w:val="auto"/>
          <w:spacing w:val="-3"/>
        </w:rPr>
        <w:t>20</w:t>
      </w:r>
      <w:r>
        <w:rPr>
          <w:rFonts w:ascii="仿宋_GB2312" w:hAnsi="仿宋_GB2312" w:eastAsia="仿宋_GB2312" w:cs="仿宋_GB2312"/>
          <w:color w:val="auto"/>
          <w:spacing w:val="-3"/>
        </w:rPr>
        <w:t>%及10%。</w:t>
      </w:r>
    </w:p>
    <w:p w14:paraId="47A8C576">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2．学生组一等奖获奖队伍的</w:t>
      </w:r>
      <w:r>
        <w:rPr>
          <w:rFonts w:hint="eastAsia" w:ascii="仿宋_GB2312" w:hAnsi="仿宋_GB2312" w:eastAsia="仿宋_GB2312" w:cs="仿宋_GB2312"/>
          <w:color w:val="auto"/>
          <w:spacing w:val="-3"/>
        </w:rPr>
        <w:t>教练/</w:t>
      </w:r>
      <w:r>
        <w:rPr>
          <w:rFonts w:ascii="仿宋_GB2312" w:hAnsi="仿宋_GB2312" w:eastAsia="仿宋_GB2312" w:cs="仿宋_GB2312"/>
          <w:color w:val="auto"/>
          <w:spacing w:val="-3"/>
        </w:rPr>
        <w:t>教师(每支参赛队伍指定1名指导教练</w:t>
      </w:r>
      <w:r>
        <w:rPr>
          <w:rFonts w:hint="eastAsia" w:ascii="仿宋_GB2312" w:hAnsi="仿宋_GB2312" w:eastAsia="仿宋_GB2312" w:cs="仿宋_GB2312"/>
          <w:color w:val="auto"/>
          <w:spacing w:val="-3"/>
        </w:rPr>
        <w:t>/</w:t>
      </w:r>
      <w:r>
        <w:rPr>
          <w:rFonts w:ascii="仿宋_GB2312" w:hAnsi="仿宋_GB2312" w:eastAsia="仿宋_GB2312" w:cs="仿宋_GB2312"/>
          <w:color w:val="auto"/>
          <w:spacing w:val="-3"/>
        </w:rPr>
        <w:t>教师)，颁发“优秀教练”“优秀指导教师”证书。</w:t>
      </w:r>
    </w:p>
    <w:p w14:paraId="112424AC">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3．对做出突出贡献的承办单位和技术支持单位，颁发“突出贡献单位”证书。</w:t>
      </w:r>
    </w:p>
    <w:p w14:paraId="6900AD2A">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4．对大赛组织实施中表现突出的工作人员，颁发“优秀工作者”证书</w:t>
      </w:r>
      <w:r>
        <w:rPr>
          <w:rFonts w:hint="eastAsia" w:ascii="仿宋_GB2312" w:hAnsi="仿宋_GB2312" w:eastAsia="仿宋_GB2312" w:cs="仿宋_GB2312"/>
          <w:color w:val="auto"/>
          <w:spacing w:val="-3"/>
        </w:rPr>
        <w:t>。</w:t>
      </w:r>
    </w:p>
    <w:p w14:paraId="0A684A34">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5．对在大赛执裁工作中表现突出的个人，颁发“优秀裁判员”证书。</w:t>
      </w:r>
    </w:p>
    <w:p w14:paraId="77F9049D">
      <w:pPr>
        <w:pStyle w:val="2"/>
        <w:snapToGrid/>
        <w:spacing w:before="450" w:line="185" w:lineRule="auto"/>
        <w:rPr>
          <w:rFonts w:hint="eastAsia"/>
          <w:color w:val="auto"/>
        </w:rPr>
      </w:pPr>
      <w:bookmarkStart w:id="8" w:name="_Toc553614443"/>
      <w:r>
        <w:rPr>
          <w:rFonts w:ascii="黑体" w:hAnsi="黑体" w:eastAsia="黑体" w:cs="黑体"/>
          <w:color w:val="auto"/>
          <w:sz w:val="30"/>
        </w:rPr>
        <w:t>五、大赛命题原则</w:t>
      </w:r>
      <w:bookmarkEnd w:id="8"/>
    </w:p>
    <w:p w14:paraId="41F9DC57">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大赛命题由组委会组织专家负责，在命题方向上，聚焦工业大数据领域和产业深度融合发展领域，以行业及产业需求和痛点为导向，同时竞赛借鉴世界技能大赛命题方法，适当增加相关新知识、新技术、新设备、新技能等内容，结合企业职业岗位对人才培养的需求，参照相关国家职业标准制定。</w:t>
      </w:r>
    </w:p>
    <w:p w14:paraId="48F0ACB5">
      <w:pPr>
        <w:pStyle w:val="2"/>
        <w:snapToGrid/>
        <w:spacing w:before="450" w:line="185" w:lineRule="auto"/>
        <w:rPr>
          <w:rFonts w:hint="eastAsia"/>
          <w:color w:val="auto"/>
        </w:rPr>
      </w:pPr>
      <w:bookmarkStart w:id="9" w:name="_Toc1698784697"/>
      <w:r>
        <w:rPr>
          <w:rFonts w:ascii="黑体" w:hAnsi="黑体" w:eastAsia="黑体" w:cs="黑体"/>
          <w:color w:val="auto"/>
          <w:sz w:val="30"/>
        </w:rPr>
        <w:t>六、大赛范围、赛题类型和其他</w:t>
      </w:r>
      <w:bookmarkEnd w:id="9"/>
    </w:p>
    <w:p w14:paraId="4F724453">
      <w:pPr>
        <w:pStyle w:val="3"/>
        <w:snapToGrid/>
        <w:spacing w:before="447" w:line="192" w:lineRule="auto"/>
        <w:ind w:firstLine="607"/>
        <w:rPr>
          <w:rFonts w:hint="eastAsia"/>
          <w:color w:val="auto"/>
        </w:rPr>
      </w:pPr>
      <w:bookmarkStart w:id="10" w:name="_Toc679315614"/>
      <w:r>
        <w:rPr>
          <w:rFonts w:ascii="楷体" w:hAnsi="楷体" w:eastAsia="楷体" w:cs="楷体"/>
          <w:color w:val="auto"/>
          <w:sz w:val="30"/>
        </w:rPr>
        <w:t>（一）理论知识竞赛</w:t>
      </w:r>
      <w:bookmarkEnd w:id="10"/>
    </w:p>
    <w:p w14:paraId="4014FFD9">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理论考试为机考，分值占比20%，通过大赛指定竞赛平台完成。建立竞赛标准题库，采用专家抽取的方式；竞赛评分将由系统自动完成，理论知识主要包括信息技术、数据库、大数据接口、大数据存储与处理、大数据分析、计算机软件开发规范、大数据管理、软件维护等方面知识。理论考试竞赛时间为1小时。</w:t>
      </w:r>
    </w:p>
    <w:p w14:paraId="3DED6E17">
      <w:pPr>
        <w:pStyle w:val="3"/>
        <w:snapToGrid/>
        <w:spacing w:before="447" w:line="192" w:lineRule="auto"/>
        <w:ind w:firstLine="607"/>
        <w:rPr>
          <w:rFonts w:hint="eastAsia"/>
          <w:color w:val="auto"/>
        </w:rPr>
      </w:pPr>
      <w:bookmarkStart w:id="11" w:name="_Toc1234457046"/>
      <w:r>
        <w:rPr>
          <w:rFonts w:ascii="楷体" w:hAnsi="楷体" w:eastAsia="楷体" w:cs="楷体"/>
          <w:color w:val="auto"/>
          <w:sz w:val="30"/>
        </w:rPr>
        <w:t>（二） 实际操作竞赛</w:t>
      </w:r>
      <w:bookmarkEnd w:id="11"/>
    </w:p>
    <w:p w14:paraId="33959FED">
      <w:pPr>
        <w:snapToGrid/>
        <w:spacing w:before="272" w:line="360" w:lineRule="auto"/>
        <w:ind w:left="6" w:right="85" w:firstLine="561"/>
        <w:jc w:val="both"/>
        <w:rPr>
          <w:color w:val="auto"/>
        </w:rPr>
      </w:pPr>
      <w:r>
        <w:rPr>
          <w:rFonts w:ascii="仿宋_GB2312" w:hAnsi="仿宋_GB2312" w:eastAsia="仿宋_GB2312" w:cs="仿宋_GB2312"/>
          <w:color w:val="auto"/>
          <w:spacing w:val="-3"/>
        </w:rPr>
        <w:t>实践操作考核范围是工业大数据的常用场景，分值占比80%，在工业</w:t>
      </w:r>
      <w:r>
        <w:rPr>
          <w:rFonts w:hint="eastAsia" w:ascii="仿宋_GB2312" w:hAnsi="仿宋_GB2312" w:eastAsia="仿宋_GB2312" w:cs="仿宋_GB2312"/>
          <w:color w:val="auto"/>
          <w:spacing w:val="-3"/>
        </w:rPr>
        <w:t>互联网</w:t>
      </w:r>
      <w:r>
        <w:rPr>
          <w:rFonts w:ascii="仿宋_GB2312" w:hAnsi="仿宋_GB2312" w:eastAsia="仿宋_GB2312" w:cs="仿宋_GB2312"/>
          <w:color w:val="auto"/>
          <w:spacing w:val="-3"/>
        </w:rPr>
        <w:t>平台完成，竞赛评分将由裁判评审。包含</w:t>
      </w:r>
      <w:r>
        <w:rPr>
          <w:rFonts w:hint="eastAsia" w:ascii="仿宋_GB2312" w:hAnsi="仿宋_GB2312" w:eastAsia="仿宋_GB2312" w:cs="仿宋_GB2312"/>
          <w:color w:val="auto"/>
          <w:spacing w:val="-3"/>
        </w:rPr>
        <w:t>工业数据建模、数据可视化分析、数据报警分析3</w:t>
      </w:r>
      <w:r>
        <w:rPr>
          <w:rFonts w:ascii="仿宋_GB2312" w:hAnsi="仿宋_GB2312" w:eastAsia="仿宋_GB2312" w:cs="仿宋_GB2312"/>
          <w:color w:val="auto"/>
          <w:spacing w:val="-3"/>
        </w:rPr>
        <w:t>个阶段，题型为实操。实践操作时长为3小时。</w:t>
      </w:r>
    </w:p>
    <w:p w14:paraId="6197BC71">
      <w:pPr>
        <w:pStyle w:val="2"/>
        <w:snapToGrid/>
        <w:spacing w:before="450" w:line="185" w:lineRule="auto"/>
        <w:rPr>
          <w:rFonts w:hint="eastAsia"/>
          <w:color w:val="auto"/>
        </w:rPr>
      </w:pPr>
      <w:bookmarkStart w:id="12" w:name="_Toc680058455"/>
      <w:r>
        <w:rPr>
          <w:rFonts w:ascii="黑体" w:hAnsi="黑体" w:eastAsia="黑体" w:cs="黑体"/>
          <w:color w:val="auto"/>
          <w:sz w:val="30"/>
        </w:rPr>
        <w:t>七、大赛场地与设施</w:t>
      </w:r>
      <w:bookmarkEnd w:id="12"/>
    </w:p>
    <w:p w14:paraId="6D4248D7">
      <w:pPr>
        <w:pStyle w:val="26"/>
        <w:numPr>
          <w:ilvl w:val="0"/>
          <w:numId w:val="1"/>
        </w:numPr>
        <w:snapToGrid/>
        <w:spacing w:before="272" w:after="0" w:line="360" w:lineRule="auto"/>
        <w:ind w:left="-179" w:leftChars="-64" w:right="109" w:rightChars="39" w:firstLine="141"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理论场地：标准计算机房，有局域网，可断外网。</w:t>
      </w:r>
    </w:p>
    <w:p w14:paraId="0D30D91C">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实操场地：竞赛现场设置竞赛区、裁判区、服务区、技术支持区。现场保证良好的采光、照明和通风，提供稳定的电和供电应急设备，同时提供教练休息场所。</w:t>
      </w:r>
    </w:p>
    <w:p w14:paraId="4CCEB4A6">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竞赛设备：所有竞赛设备由赛项执委会负责提供和保障，竞赛区按照参赛队数量准备比赛所需的软硬件平台，为参赛队提供标准竞赛设备。</w:t>
      </w:r>
    </w:p>
    <w:p w14:paraId="40851F9E">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竞赛工位：每个赛位标明编号，赛位面积不少于4m²，竞赛现场各个工位配备单相220V/3A以上交流电源。每个比赛工位上标明编号。每个工位配有工作台，用于摆放 1台计算机，同时配备1把工作椅（凳）。</w:t>
      </w:r>
    </w:p>
    <w:p w14:paraId="03F4B128">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技术支持区为参赛选手提供竞赛相关技术支持，服务区提供医疗等服务保障。</w:t>
      </w:r>
    </w:p>
    <w:p w14:paraId="101E11DB">
      <w:pPr>
        <w:pStyle w:val="26"/>
        <w:numPr>
          <w:ilvl w:val="0"/>
          <w:numId w:val="1"/>
        </w:numPr>
        <w:snapToGrid/>
        <w:spacing w:before="272" w:after="0" w:line="360" w:lineRule="auto"/>
        <w:ind w:left="-510" w:leftChars="-182" w:right="85" w:firstLine="426" w:firstLineChars="0"/>
        <w:jc w:val="both"/>
        <w:rPr>
          <w:rFonts w:ascii="仿宋_GB2312" w:hAnsi="仿宋_GB2312" w:eastAsia="仿宋_GB2312" w:cs="仿宋_GB2312"/>
          <w:color w:val="auto"/>
          <w:spacing w:val="-3"/>
          <w:sz w:val="28"/>
        </w:rPr>
      </w:pPr>
      <w:r>
        <w:rPr>
          <w:rFonts w:ascii="仿宋_GB2312" w:hAnsi="仿宋_GB2312" w:eastAsia="仿宋_GB2312" w:cs="仿宋_GB2312"/>
          <w:color w:val="auto"/>
          <w:spacing w:val="-3"/>
          <w:sz w:val="28"/>
        </w:rPr>
        <w:t>竞赛环境依据竞赛需求设计，在竞赛不被干扰的前提下赛场面向媒体、行业专家开放，允许媒体、行业专家在规定的时段内沿指定路线进行现场参观。</w:t>
      </w:r>
    </w:p>
    <w:p w14:paraId="7FF38B20">
      <w:pPr>
        <w:pStyle w:val="2"/>
        <w:snapToGrid/>
        <w:spacing w:before="450" w:line="185" w:lineRule="auto"/>
        <w:rPr>
          <w:rFonts w:hint="eastAsia"/>
          <w:color w:val="auto"/>
        </w:rPr>
      </w:pPr>
      <w:bookmarkStart w:id="13" w:name="_Toc834483851"/>
      <w:r>
        <w:rPr>
          <w:rFonts w:ascii="黑体" w:hAnsi="黑体" w:eastAsia="黑体" w:cs="黑体"/>
          <w:color w:val="auto"/>
          <w:sz w:val="30"/>
        </w:rPr>
        <w:t>八、大赛关键环节与时间安排</w:t>
      </w:r>
      <w:bookmarkEnd w:id="13"/>
    </w:p>
    <w:p w14:paraId="78ADEDF7">
      <w:pPr>
        <w:pStyle w:val="3"/>
        <w:snapToGrid/>
        <w:spacing w:before="447" w:line="192" w:lineRule="auto"/>
        <w:ind w:firstLine="607"/>
        <w:rPr>
          <w:rFonts w:hint="eastAsia"/>
          <w:color w:val="auto"/>
        </w:rPr>
      </w:pPr>
      <w:bookmarkStart w:id="14" w:name="_Toc2101868847"/>
      <w:r>
        <w:rPr>
          <w:rFonts w:ascii="楷体" w:hAnsi="楷体" w:eastAsia="楷体" w:cs="楷体"/>
          <w:color w:val="auto"/>
          <w:sz w:val="30"/>
        </w:rPr>
        <w:t>（一）关键环节</w:t>
      </w:r>
      <w:bookmarkEnd w:id="14"/>
    </w:p>
    <w:p w14:paraId="4F47393E">
      <w:pPr>
        <w:snapToGrid/>
        <w:spacing w:before="272" w:line="360" w:lineRule="auto"/>
        <w:ind w:left="6" w:right="85" w:firstLine="561"/>
        <w:jc w:val="both"/>
        <w:rPr>
          <w:color w:val="auto"/>
        </w:rPr>
      </w:pPr>
      <w:r>
        <w:rPr>
          <w:rFonts w:ascii="仿宋_GB2312" w:hAnsi="仿宋_GB2312" w:eastAsia="仿宋_GB2312" w:cs="仿宋_GB2312"/>
          <w:color w:val="auto"/>
          <w:spacing w:val="-3"/>
        </w:rPr>
        <w:t>参赛选手报到—召开领队赛前说明会—参赛选手赛前熟悉场地—开幕式—理论考试—实操竞赛—比赛结束（参赛选手上交比赛成果）—成绩评定—大赛技术点评、颁奖仪式、闭幕式。</w:t>
      </w:r>
    </w:p>
    <w:p w14:paraId="05706A21">
      <w:pPr>
        <w:pStyle w:val="3"/>
        <w:snapToGrid/>
        <w:spacing w:before="447" w:line="192" w:lineRule="auto"/>
        <w:ind w:firstLine="607"/>
        <w:rPr>
          <w:rFonts w:hint="eastAsia"/>
          <w:color w:val="auto"/>
        </w:rPr>
      </w:pPr>
      <w:bookmarkStart w:id="15" w:name="_Toc3718379"/>
      <w:r>
        <w:rPr>
          <w:rFonts w:ascii="楷体" w:hAnsi="楷体" w:eastAsia="楷体" w:cs="楷体"/>
          <w:color w:val="auto"/>
          <w:sz w:val="30"/>
        </w:rPr>
        <w:t>（二）竞赛流程</w:t>
      </w:r>
      <w:bookmarkEnd w:id="15"/>
    </w:p>
    <w:p w14:paraId="271197E2">
      <w:pPr>
        <w:jc w:val="center"/>
        <w:rPr>
          <w:rFonts w:ascii="楷体" w:hAnsi="楷体" w:eastAsia="楷体" w:cs="楷体"/>
          <w:color w:val="auto"/>
          <w:sz w:val="30"/>
        </w:rPr>
      </w:pPr>
      <w:r>
        <w:rPr>
          <w:color w:val="auto"/>
        </w:rPr>
        <w:drawing>
          <wp:inline distT="0" distB="0" distL="0" distR="0">
            <wp:extent cx="4892040" cy="5160645"/>
            <wp:effectExtent l="0" t="0" r="10160" b="20955"/>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7">
                      <a:extLst>
                        <a:ext uri="{28A0092B-C50C-407E-A947-70E740481C1C}">
                          <a14:useLocalDpi xmlns:a14="http://schemas.microsoft.com/office/drawing/2010/main" val="0"/>
                        </a:ext>
                      </a:extLst>
                    </a:blip>
                    <a:srcRect/>
                    <a:stretch>
                      <a:fillRect/>
                    </a:stretch>
                  </pic:blipFill>
                  <pic:spPr>
                    <a:xfrm>
                      <a:off x="0" y="0"/>
                      <a:ext cx="4892040" cy="5160645"/>
                    </a:xfrm>
                    <a:prstGeom prst="rect">
                      <a:avLst/>
                    </a:prstGeom>
                    <a:noFill/>
                    <a:ln>
                      <a:noFill/>
                    </a:ln>
                  </pic:spPr>
                </pic:pic>
              </a:graphicData>
            </a:graphic>
          </wp:inline>
        </w:drawing>
      </w:r>
    </w:p>
    <w:p w14:paraId="3B361367">
      <w:pPr>
        <w:pStyle w:val="3"/>
        <w:snapToGrid/>
        <w:spacing w:before="447" w:line="192" w:lineRule="auto"/>
        <w:ind w:firstLine="607"/>
        <w:rPr>
          <w:rFonts w:hint="eastAsia"/>
          <w:color w:val="auto"/>
        </w:rPr>
      </w:pPr>
      <w:bookmarkStart w:id="16" w:name="_Toc217770090"/>
      <w:r>
        <w:rPr>
          <w:rFonts w:ascii="楷体" w:hAnsi="楷体" w:eastAsia="楷体" w:cs="楷体"/>
          <w:color w:val="auto"/>
          <w:sz w:val="30"/>
        </w:rPr>
        <w:t>（三） 时间安排</w:t>
      </w:r>
      <w:bookmarkEnd w:id="16"/>
    </w:p>
    <w:p w14:paraId="07214643">
      <w:pPr>
        <w:snapToGrid/>
        <w:spacing w:before="272" w:line="370" w:lineRule="auto"/>
        <w:ind w:left="6" w:right="85" w:firstLine="561"/>
        <w:rPr>
          <w:color w:val="auto"/>
        </w:rPr>
      </w:pPr>
      <w:r>
        <w:rPr>
          <w:rFonts w:ascii="仿宋_GB2312" w:hAnsi="仿宋_GB2312" w:eastAsia="仿宋_GB2312" w:cs="仿宋_GB2312"/>
          <w:color w:val="auto"/>
          <w:spacing w:val="-3"/>
        </w:rPr>
        <w:t>比赛时间预计为 3 天，如下表所示，具体以竞赛指南日程为准。</w:t>
      </w:r>
    </w:p>
    <w:p w14:paraId="2E7DE216">
      <w:pPr>
        <w:snapToGrid/>
        <w:spacing w:line="24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3</w:t>
      </w:r>
      <w:r>
        <w:rPr>
          <w:color w:val="auto"/>
        </w:rPr>
        <w:fldChar w:fldCharType="end"/>
      </w:r>
      <w:r>
        <w:rPr>
          <w:rFonts w:ascii="黑体" w:hAnsi="黑体" w:eastAsia="黑体" w:cs="黑体"/>
          <w:color w:val="auto"/>
          <w:sz w:val="24"/>
        </w:rPr>
        <w:t>日程表</w:t>
      </w:r>
    </w:p>
    <w:tbl>
      <w:tblPr>
        <w:tblStyle w:val="15"/>
        <w:tblW w:w="5000" w:type="pct"/>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autofit"/>
        <w:tblCellMar>
          <w:top w:w="0" w:type="dxa"/>
          <w:left w:w="108" w:type="dxa"/>
          <w:bottom w:w="0" w:type="dxa"/>
          <w:right w:w="108" w:type="dxa"/>
        </w:tblCellMar>
      </w:tblPr>
      <w:tblGrid>
        <w:gridCol w:w="1932"/>
        <w:gridCol w:w="2885"/>
        <w:gridCol w:w="4471"/>
      </w:tblGrid>
      <w:tr w14:paraId="5F4EEF2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25B394">
            <w:pPr>
              <w:snapToGrid/>
              <w:spacing w:line="240" w:lineRule="auto"/>
              <w:jc w:val="center"/>
              <w:rPr>
                <w:rFonts w:ascii="宋体" w:hAnsi="宋体" w:eastAsia="宋体" w:cs="仿宋GB"/>
                <w:color w:val="auto"/>
                <w:szCs w:val="24"/>
              </w:rPr>
            </w:pPr>
            <w:r>
              <w:rPr>
                <w:rFonts w:ascii="宋体" w:hAnsi="宋体" w:eastAsia="宋体" w:cs="仿宋GB"/>
                <w:color w:val="auto"/>
                <w:szCs w:val="24"/>
              </w:rPr>
              <w:t>日期</w:t>
            </w: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E4DC6F9">
            <w:pPr>
              <w:snapToGrid/>
              <w:spacing w:line="240" w:lineRule="auto"/>
              <w:jc w:val="center"/>
              <w:rPr>
                <w:rFonts w:ascii="宋体" w:hAnsi="宋体" w:eastAsia="宋体" w:cs="仿宋GB"/>
                <w:color w:val="auto"/>
                <w:szCs w:val="24"/>
              </w:rPr>
            </w:pPr>
            <w:r>
              <w:rPr>
                <w:rFonts w:ascii="宋体" w:hAnsi="宋体" w:eastAsia="宋体" w:cs="仿宋GB"/>
                <w:color w:val="auto"/>
                <w:szCs w:val="24"/>
              </w:rPr>
              <w:t>时间</w:t>
            </w:r>
          </w:p>
        </w:tc>
        <w:tc>
          <w:tcPr>
            <w:tcW w:w="2407"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F0469D">
            <w:pPr>
              <w:snapToGrid/>
              <w:spacing w:line="240" w:lineRule="auto"/>
              <w:jc w:val="center"/>
              <w:rPr>
                <w:rFonts w:ascii="宋体" w:hAnsi="宋体" w:eastAsia="宋体" w:cs="仿宋GB"/>
                <w:color w:val="auto"/>
                <w:szCs w:val="24"/>
              </w:rPr>
            </w:pPr>
            <w:r>
              <w:rPr>
                <w:rFonts w:ascii="宋体" w:hAnsi="宋体" w:eastAsia="宋体" w:cs="仿宋GB"/>
                <w:color w:val="auto"/>
                <w:szCs w:val="24"/>
              </w:rPr>
              <w:t>内容</w:t>
            </w:r>
          </w:p>
        </w:tc>
      </w:tr>
      <w:tr w14:paraId="75A842B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001501F">
            <w:pPr>
              <w:snapToGrid/>
              <w:spacing w:line="240" w:lineRule="auto"/>
              <w:jc w:val="center"/>
              <w:rPr>
                <w:rFonts w:ascii="宋体" w:hAnsi="宋体" w:eastAsia="宋体" w:cs="仿宋GB"/>
                <w:color w:val="auto"/>
                <w:szCs w:val="24"/>
              </w:rPr>
            </w:pPr>
            <w:r>
              <w:rPr>
                <w:rFonts w:ascii="宋体" w:hAnsi="宋体" w:eastAsia="宋体" w:cs="仿宋GB"/>
                <w:color w:val="auto"/>
                <w:szCs w:val="24"/>
              </w:rPr>
              <w:t>第一天</w:t>
            </w:r>
          </w:p>
        </w:tc>
        <w:tc>
          <w:tcPr>
            <w:tcW w:w="1553"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DE24CB">
            <w:pPr>
              <w:snapToGrid/>
              <w:spacing w:line="240" w:lineRule="auto"/>
              <w:jc w:val="center"/>
              <w:rPr>
                <w:rFonts w:ascii="宋体" w:hAnsi="宋体" w:eastAsia="宋体" w:cs="仿宋GB"/>
                <w:color w:val="auto"/>
                <w:szCs w:val="24"/>
              </w:rPr>
            </w:pPr>
            <w:r>
              <w:rPr>
                <w:rFonts w:ascii="宋体" w:hAnsi="宋体" w:eastAsia="宋体" w:cs="仿宋GB"/>
                <w:color w:val="auto"/>
                <w:szCs w:val="24"/>
              </w:rPr>
              <w:t>14:00—21:00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C2D853">
            <w:pPr>
              <w:snapToGrid/>
              <w:spacing w:line="240" w:lineRule="auto"/>
              <w:jc w:val="center"/>
              <w:rPr>
                <w:rFonts w:ascii="宋体" w:hAnsi="宋体" w:eastAsia="宋体" w:cs="仿宋GB"/>
                <w:color w:val="auto"/>
                <w:szCs w:val="24"/>
              </w:rPr>
            </w:pPr>
            <w:r>
              <w:rPr>
                <w:rFonts w:ascii="宋体" w:hAnsi="宋体" w:eastAsia="宋体" w:cs="仿宋GB"/>
                <w:color w:val="auto"/>
                <w:szCs w:val="24"/>
              </w:rPr>
              <w:t>报到</w:t>
            </w:r>
          </w:p>
        </w:tc>
      </w:tr>
      <w:tr w14:paraId="274A27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1CB247">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ADB636">
            <w:pPr>
              <w:snapToGrid/>
              <w:spacing w:line="240" w:lineRule="auto"/>
              <w:jc w:val="center"/>
              <w:rPr>
                <w:rFonts w:ascii="宋体" w:hAnsi="宋体" w:eastAsia="宋体" w:cs="仿宋GB"/>
                <w:color w:val="auto"/>
                <w:szCs w:val="24"/>
              </w:rPr>
            </w:pPr>
            <w:r>
              <w:rPr>
                <w:rFonts w:ascii="宋体" w:hAnsi="宋体" w:eastAsia="宋体" w:cs="仿宋GB"/>
                <w:color w:val="auto"/>
                <w:szCs w:val="24"/>
              </w:rPr>
              <w:t>16:00前</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653096">
            <w:pPr>
              <w:snapToGrid/>
              <w:spacing w:line="240" w:lineRule="auto"/>
              <w:jc w:val="center"/>
              <w:rPr>
                <w:rFonts w:ascii="宋体" w:hAnsi="宋体" w:eastAsia="宋体" w:cs="仿宋GB"/>
                <w:color w:val="auto"/>
                <w:szCs w:val="24"/>
              </w:rPr>
            </w:pPr>
            <w:r>
              <w:rPr>
                <w:rFonts w:ascii="宋体" w:hAnsi="宋体" w:eastAsia="宋体" w:cs="仿宋GB"/>
                <w:color w:val="auto"/>
                <w:szCs w:val="24"/>
              </w:rPr>
              <w:t>裁判报到</w:t>
            </w:r>
          </w:p>
        </w:tc>
      </w:tr>
      <w:tr w14:paraId="13C3DA7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2BBB404">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E4B1E1E">
            <w:pPr>
              <w:snapToGrid/>
              <w:spacing w:line="240" w:lineRule="auto"/>
              <w:jc w:val="center"/>
              <w:rPr>
                <w:rFonts w:ascii="宋体" w:hAnsi="宋体" w:eastAsia="宋体" w:cs="仿宋GB"/>
                <w:color w:val="auto"/>
                <w:szCs w:val="24"/>
              </w:rPr>
            </w:pPr>
            <w:r>
              <w:rPr>
                <w:rFonts w:ascii="宋体" w:hAnsi="宋体" w:eastAsia="宋体" w:cs="仿宋GB"/>
                <w:color w:val="auto"/>
                <w:szCs w:val="24"/>
              </w:rPr>
              <w:t>17:00—18:00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20F92D">
            <w:pPr>
              <w:snapToGrid/>
              <w:spacing w:line="240" w:lineRule="auto"/>
              <w:jc w:val="center"/>
              <w:rPr>
                <w:rFonts w:ascii="宋体" w:hAnsi="宋体" w:eastAsia="宋体" w:cs="仿宋GB"/>
                <w:color w:val="auto"/>
                <w:szCs w:val="24"/>
              </w:rPr>
            </w:pPr>
            <w:r>
              <w:rPr>
                <w:rFonts w:ascii="宋体" w:hAnsi="宋体" w:eastAsia="宋体" w:cs="仿宋GB"/>
                <w:color w:val="auto"/>
                <w:szCs w:val="24"/>
              </w:rPr>
              <w:t>裁判会议</w:t>
            </w:r>
          </w:p>
        </w:tc>
      </w:tr>
      <w:tr w14:paraId="49FEEBF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CC40D3">
            <w:pPr>
              <w:snapToGrid/>
              <w:spacing w:line="240" w:lineRule="auto"/>
              <w:jc w:val="center"/>
              <w:rPr>
                <w:rFonts w:ascii="宋体" w:hAnsi="宋体" w:eastAsia="宋体" w:cs="仿宋GB"/>
                <w:color w:val="auto"/>
                <w:szCs w:val="24"/>
              </w:rPr>
            </w:pPr>
            <w:r>
              <w:rPr>
                <w:rFonts w:ascii="宋体" w:hAnsi="宋体" w:eastAsia="宋体" w:cs="仿宋GB"/>
                <w:color w:val="auto"/>
                <w:szCs w:val="24"/>
              </w:rPr>
              <w:t>第二天</w:t>
            </w:r>
          </w:p>
        </w:tc>
        <w:tc>
          <w:tcPr>
            <w:tcW w:w="1553"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B29CD6">
            <w:pPr>
              <w:snapToGrid/>
              <w:spacing w:line="240" w:lineRule="auto"/>
              <w:jc w:val="center"/>
              <w:rPr>
                <w:rFonts w:ascii="宋体" w:hAnsi="宋体" w:eastAsia="宋体" w:cs="仿宋GB"/>
                <w:color w:val="auto"/>
                <w:szCs w:val="24"/>
              </w:rPr>
            </w:pPr>
            <w:r>
              <w:rPr>
                <w:rFonts w:ascii="宋体" w:hAnsi="宋体" w:eastAsia="宋体" w:cs="仿宋GB"/>
                <w:color w:val="auto"/>
                <w:szCs w:val="24"/>
              </w:rPr>
              <w:t>9:00—10:00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85DACD3">
            <w:pPr>
              <w:snapToGrid/>
              <w:spacing w:line="240" w:lineRule="auto"/>
              <w:jc w:val="center"/>
              <w:rPr>
                <w:rFonts w:ascii="宋体" w:hAnsi="宋体" w:eastAsia="宋体" w:cs="仿宋GB"/>
                <w:color w:val="auto"/>
                <w:szCs w:val="24"/>
              </w:rPr>
            </w:pPr>
            <w:r>
              <w:rPr>
                <w:rFonts w:ascii="宋体" w:hAnsi="宋体" w:eastAsia="宋体" w:cs="仿宋GB"/>
                <w:color w:val="auto"/>
                <w:szCs w:val="24"/>
              </w:rPr>
              <w:t>开幕式</w:t>
            </w:r>
          </w:p>
        </w:tc>
      </w:tr>
      <w:tr w14:paraId="53A3D95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EF59A7E">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EADAC5">
            <w:pPr>
              <w:snapToGrid/>
              <w:spacing w:line="240" w:lineRule="auto"/>
              <w:jc w:val="center"/>
              <w:rPr>
                <w:rFonts w:ascii="宋体" w:hAnsi="宋体" w:eastAsia="宋体" w:cs="仿宋GB"/>
                <w:color w:val="auto"/>
                <w:szCs w:val="24"/>
              </w:rPr>
            </w:pPr>
            <w:r>
              <w:rPr>
                <w:rFonts w:ascii="宋体" w:hAnsi="宋体" w:eastAsia="宋体" w:cs="仿宋GB"/>
                <w:color w:val="auto"/>
                <w:szCs w:val="24"/>
              </w:rPr>
              <w:t>10:00—11:30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9B490B">
            <w:pPr>
              <w:snapToGrid/>
              <w:spacing w:line="240" w:lineRule="auto"/>
              <w:jc w:val="center"/>
              <w:rPr>
                <w:rFonts w:ascii="宋体" w:hAnsi="宋体" w:eastAsia="宋体" w:cs="仿宋GB"/>
                <w:color w:val="auto"/>
                <w:szCs w:val="24"/>
              </w:rPr>
            </w:pPr>
            <w:r>
              <w:rPr>
                <w:rFonts w:ascii="宋体" w:hAnsi="宋体" w:eastAsia="宋体" w:cs="仿宋GB"/>
                <w:color w:val="auto"/>
                <w:szCs w:val="24"/>
              </w:rPr>
              <w:t>领队会议、赛场参观</w:t>
            </w:r>
          </w:p>
        </w:tc>
      </w:tr>
      <w:tr w14:paraId="2BB398A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052B25B">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2D8950">
            <w:pPr>
              <w:snapToGrid/>
              <w:spacing w:line="240" w:lineRule="auto"/>
              <w:jc w:val="center"/>
              <w:rPr>
                <w:rFonts w:ascii="宋体" w:hAnsi="宋体" w:eastAsia="宋体" w:cs="仿宋GB"/>
                <w:color w:val="auto"/>
                <w:szCs w:val="24"/>
              </w:rPr>
            </w:pPr>
            <w:r>
              <w:rPr>
                <w:rFonts w:ascii="宋体" w:hAnsi="宋体" w:eastAsia="宋体" w:cs="仿宋GB"/>
                <w:color w:val="auto"/>
                <w:szCs w:val="24"/>
              </w:rPr>
              <w:t>12:30—13:00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071836">
            <w:pPr>
              <w:snapToGrid/>
              <w:spacing w:line="240" w:lineRule="auto"/>
              <w:jc w:val="center"/>
              <w:rPr>
                <w:rFonts w:ascii="宋体" w:hAnsi="宋体" w:eastAsia="宋体" w:cs="仿宋GB"/>
                <w:color w:val="auto"/>
                <w:szCs w:val="24"/>
              </w:rPr>
            </w:pPr>
            <w:r>
              <w:rPr>
                <w:rFonts w:ascii="宋体" w:hAnsi="宋体" w:eastAsia="宋体" w:cs="仿宋GB"/>
                <w:color w:val="auto"/>
                <w:szCs w:val="24"/>
              </w:rPr>
              <w:t>检录、加密</w:t>
            </w:r>
          </w:p>
        </w:tc>
      </w:tr>
      <w:tr w14:paraId="3672EC0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48AA0E">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EA91559">
            <w:pPr>
              <w:snapToGrid/>
              <w:spacing w:line="240" w:lineRule="auto"/>
              <w:jc w:val="center"/>
              <w:rPr>
                <w:rFonts w:ascii="宋体" w:hAnsi="宋体" w:eastAsia="宋体" w:cs="仿宋GB"/>
                <w:color w:val="auto"/>
                <w:szCs w:val="24"/>
              </w:rPr>
            </w:pPr>
            <w:r>
              <w:rPr>
                <w:rFonts w:ascii="宋体" w:hAnsi="宋体" w:eastAsia="宋体" w:cs="仿宋GB"/>
                <w:color w:val="auto"/>
                <w:szCs w:val="24"/>
              </w:rPr>
              <w:t>13:00—17:00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791EB5">
            <w:pPr>
              <w:snapToGrid/>
              <w:spacing w:line="240" w:lineRule="auto"/>
              <w:jc w:val="center"/>
              <w:rPr>
                <w:rFonts w:ascii="宋体" w:hAnsi="宋体" w:eastAsia="宋体" w:cs="仿宋GB"/>
                <w:color w:val="auto"/>
                <w:szCs w:val="24"/>
              </w:rPr>
            </w:pPr>
            <w:r>
              <w:rPr>
                <w:rFonts w:ascii="宋体" w:hAnsi="宋体" w:eastAsia="宋体" w:cs="仿宋GB"/>
                <w:color w:val="auto"/>
                <w:szCs w:val="24"/>
              </w:rPr>
              <w:t>理论+实操考试</w:t>
            </w:r>
          </w:p>
        </w:tc>
      </w:tr>
      <w:tr w14:paraId="368FB75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830DF05">
            <w:pPr>
              <w:snapToGrid/>
              <w:spacing w:line="240" w:lineRule="auto"/>
              <w:jc w:val="center"/>
              <w:rPr>
                <w:rFonts w:ascii="宋体" w:hAnsi="宋体" w:eastAsia="宋体" w:cs="仿宋GB"/>
                <w:color w:val="auto"/>
                <w:szCs w:val="24"/>
              </w:rPr>
            </w:pPr>
            <w:r>
              <w:rPr>
                <w:rFonts w:ascii="宋体" w:hAnsi="宋体" w:eastAsia="宋体" w:cs="仿宋GB"/>
                <w:color w:val="auto"/>
                <w:szCs w:val="24"/>
              </w:rPr>
              <w:t>第三天</w:t>
            </w:r>
          </w:p>
        </w:tc>
        <w:tc>
          <w:tcPr>
            <w:tcW w:w="1553"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56AC6">
            <w:pPr>
              <w:snapToGrid/>
              <w:spacing w:line="240" w:lineRule="auto"/>
              <w:jc w:val="center"/>
              <w:rPr>
                <w:rFonts w:ascii="宋体" w:hAnsi="宋体" w:eastAsia="宋体" w:cs="仿宋GB"/>
                <w:color w:val="auto"/>
                <w:szCs w:val="24"/>
              </w:rPr>
            </w:pPr>
            <w:r>
              <w:rPr>
                <w:rFonts w:ascii="宋体" w:hAnsi="宋体" w:eastAsia="宋体" w:cs="仿宋GB"/>
                <w:color w:val="auto"/>
                <w:szCs w:val="24"/>
              </w:rPr>
              <w:t>8:00—10:00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E2BF4D6">
            <w:pPr>
              <w:snapToGrid/>
              <w:spacing w:line="240" w:lineRule="auto"/>
              <w:jc w:val="center"/>
              <w:rPr>
                <w:rFonts w:ascii="宋体" w:hAnsi="宋体" w:eastAsia="宋体" w:cs="仿宋GB"/>
                <w:color w:val="auto"/>
                <w:szCs w:val="24"/>
              </w:rPr>
            </w:pPr>
            <w:r>
              <w:rPr>
                <w:rFonts w:ascii="宋体" w:hAnsi="宋体" w:eastAsia="宋体" w:cs="仿宋GB"/>
                <w:color w:val="auto"/>
                <w:szCs w:val="24"/>
              </w:rPr>
              <w:t>成绩公示</w:t>
            </w:r>
          </w:p>
        </w:tc>
      </w:tr>
      <w:tr w14:paraId="72292C5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67" w:hRule="atLeast"/>
          <w:jc w:val="center"/>
        </w:trPr>
        <w:tc>
          <w:tcPr>
            <w:tcW w:w="1040" w:type="pct"/>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508DF0B">
            <w:pPr>
              <w:snapToGrid/>
              <w:spacing w:line="240" w:lineRule="auto"/>
              <w:jc w:val="center"/>
              <w:rPr>
                <w:rFonts w:ascii="宋体" w:hAnsi="宋体" w:eastAsia="宋体" w:cs="仿宋GB"/>
                <w:color w:val="auto"/>
                <w:szCs w:val="24"/>
              </w:rPr>
            </w:pPr>
          </w:p>
        </w:tc>
        <w:tc>
          <w:tcPr>
            <w:tcW w:w="1553" w:type="pc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5BEAC0">
            <w:pPr>
              <w:snapToGrid/>
              <w:spacing w:line="240" w:lineRule="auto"/>
              <w:jc w:val="center"/>
              <w:rPr>
                <w:rFonts w:ascii="宋体" w:hAnsi="宋体" w:eastAsia="宋体" w:cs="仿宋GB"/>
                <w:color w:val="auto"/>
                <w:szCs w:val="24"/>
              </w:rPr>
            </w:pPr>
            <w:r>
              <w:rPr>
                <w:rFonts w:ascii="宋体" w:hAnsi="宋体" w:eastAsia="宋体" w:cs="仿宋GB"/>
                <w:color w:val="auto"/>
                <w:szCs w:val="24"/>
              </w:rPr>
              <w:t>10:00—11:00</w:t>
            </w:r>
          </w:p>
        </w:tc>
        <w:tc>
          <w:tcPr>
            <w:tcW w:w="2407" w:type="pct"/>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8025D82">
            <w:pPr>
              <w:snapToGrid/>
              <w:spacing w:line="240" w:lineRule="auto"/>
              <w:jc w:val="center"/>
              <w:rPr>
                <w:rFonts w:ascii="宋体" w:hAnsi="宋体" w:eastAsia="宋体" w:cs="仿宋GB"/>
                <w:color w:val="auto"/>
                <w:szCs w:val="24"/>
              </w:rPr>
            </w:pPr>
            <w:r>
              <w:rPr>
                <w:rFonts w:ascii="宋体" w:hAnsi="宋体" w:eastAsia="宋体" w:cs="仿宋GB"/>
                <w:color w:val="auto"/>
                <w:szCs w:val="24"/>
              </w:rPr>
              <w:t>闭幕式、技术点评、颁奖</w:t>
            </w:r>
          </w:p>
        </w:tc>
      </w:tr>
    </w:tbl>
    <w:p w14:paraId="6BCC8D14">
      <w:pPr>
        <w:pStyle w:val="2"/>
        <w:snapToGrid/>
        <w:spacing w:before="450" w:line="185" w:lineRule="auto"/>
        <w:rPr>
          <w:rFonts w:hint="eastAsia"/>
          <w:color w:val="auto"/>
        </w:rPr>
      </w:pPr>
      <w:bookmarkStart w:id="17" w:name="_Toc749768142"/>
      <w:r>
        <w:rPr>
          <w:rFonts w:ascii="黑体" w:hAnsi="黑体" w:eastAsia="黑体" w:cs="黑体"/>
          <w:color w:val="auto"/>
          <w:sz w:val="30"/>
        </w:rPr>
        <w:t>九、大赛评分标准制定原则、评分方法、评分细则及技术规范</w:t>
      </w:r>
      <w:bookmarkEnd w:id="17"/>
    </w:p>
    <w:p w14:paraId="14B08C16">
      <w:pPr>
        <w:pStyle w:val="3"/>
        <w:snapToGrid/>
        <w:spacing w:before="447" w:line="360" w:lineRule="auto"/>
        <w:ind w:firstLine="607"/>
        <w:rPr>
          <w:rFonts w:hint="eastAsia"/>
          <w:color w:val="auto"/>
        </w:rPr>
      </w:pPr>
      <w:bookmarkStart w:id="18" w:name="_Toc2066605645"/>
      <w:r>
        <w:rPr>
          <w:rFonts w:ascii="楷体" w:hAnsi="楷体" w:eastAsia="楷体" w:cs="楷体"/>
          <w:color w:val="auto"/>
          <w:sz w:val="30"/>
        </w:rPr>
        <w:t>（一）评分标准制定原则</w:t>
      </w:r>
      <w:bookmarkEnd w:id="18"/>
    </w:p>
    <w:p w14:paraId="4D337B8A">
      <w:pPr>
        <w:snapToGrid/>
        <w:spacing w:before="272" w:line="360" w:lineRule="auto"/>
        <w:ind w:left="6" w:right="85" w:firstLine="561"/>
        <w:jc w:val="both"/>
        <w:rPr>
          <w:color w:val="auto"/>
        </w:rPr>
      </w:pPr>
      <w:r>
        <w:rPr>
          <w:rFonts w:ascii="仿宋_GB2312" w:hAnsi="仿宋_GB2312" w:eastAsia="仿宋_GB2312" w:cs="仿宋_GB2312"/>
          <w:color w:val="auto"/>
          <w:spacing w:val="-3"/>
        </w:rPr>
        <w:t>基于大赛目的和相关技术规范，本着“科学严谨、公正公平、可操作性强、突出工匠精神”的原则，按照技能大赛技术专家组制定的考核标准，能够全面评价参赛选手职业能力的要求制定评分标准。</w:t>
      </w:r>
    </w:p>
    <w:p w14:paraId="6D3F2BAF">
      <w:pPr>
        <w:pStyle w:val="3"/>
        <w:snapToGrid/>
        <w:spacing w:before="447" w:line="360" w:lineRule="auto"/>
        <w:ind w:firstLine="607"/>
        <w:rPr>
          <w:rFonts w:hint="eastAsia"/>
          <w:color w:val="auto"/>
        </w:rPr>
      </w:pPr>
      <w:bookmarkStart w:id="19" w:name="_Toc40568937"/>
      <w:r>
        <w:rPr>
          <w:rFonts w:ascii="楷体" w:hAnsi="楷体" w:eastAsia="楷体" w:cs="楷体"/>
          <w:color w:val="auto"/>
          <w:sz w:val="30"/>
        </w:rPr>
        <w:t>（二）评分方法</w:t>
      </w:r>
      <w:bookmarkEnd w:id="19"/>
    </w:p>
    <w:p w14:paraId="5F20A6BE">
      <w:pPr>
        <w:snapToGrid/>
        <w:spacing w:before="272" w:line="360" w:lineRule="auto"/>
        <w:ind w:left="6" w:right="85" w:firstLine="561"/>
        <w:jc w:val="both"/>
        <w:rPr>
          <w:color w:val="auto"/>
        </w:rPr>
      </w:pPr>
      <w:r>
        <w:rPr>
          <w:rFonts w:ascii="仿宋_GB2312" w:hAnsi="仿宋_GB2312" w:eastAsia="仿宋_GB2312" w:cs="仿宋_GB2312"/>
          <w:color w:val="auto"/>
          <w:spacing w:val="-3"/>
        </w:rPr>
        <w:t xml:space="preserve">裁判组在坚持“公平、公正、公开、科学、规范”的原则下，各负其责，按照制订的评分要点进行评分。  </w:t>
      </w:r>
    </w:p>
    <w:p w14:paraId="0843BD7A">
      <w:pPr>
        <w:snapToGrid/>
        <w:spacing w:before="272" w:line="360" w:lineRule="auto"/>
        <w:ind w:left="6" w:right="85" w:firstLine="561"/>
        <w:jc w:val="both"/>
        <w:rPr>
          <w:color w:val="auto"/>
        </w:rPr>
      </w:pPr>
      <w:r>
        <w:rPr>
          <w:rFonts w:ascii="仿宋_GB2312" w:hAnsi="仿宋_GB2312" w:eastAsia="仿宋_GB2312" w:cs="仿宋_GB2312"/>
          <w:color w:val="auto"/>
          <w:spacing w:val="-3"/>
        </w:rPr>
        <w:t>结果评分：比赛结束后，裁判组根据参赛选手提交的比赛结果进行评分。</w:t>
      </w:r>
    </w:p>
    <w:p w14:paraId="193B761E">
      <w:pPr>
        <w:snapToGrid/>
        <w:spacing w:before="272" w:line="360" w:lineRule="auto"/>
        <w:ind w:left="6" w:right="85" w:firstLine="561"/>
        <w:jc w:val="both"/>
        <w:rPr>
          <w:color w:val="auto"/>
        </w:rPr>
      </w:pPr>
      <w:r>
        <w:rPr>
          <w:rFonts w:ascii="仿宋_GB2312" w:hAnsi="仿宋_GB2312" w:eastAsia="仿宋_GB2312" w:cs="仿宋_GB2312"/>
          <w:color w:val="auto"/>
          <w:spacing w:val="-3"/>
        </w:rPr>
        <w:t>成绩汇总：比赛成绩经过加密裁判组解密后进行加权计算，确定最终比赛成绩，经总裁判长审核、仲裁组长复核后签字确认。总成绩相同，以实操成绩高者优先排名，如实操成绩相同，按照实操模块五成绩高者优先排名。</w:t>
      </w:r>
    </w:p>
    <w:p w14:paraId="48484D23">
      <w:pPr>
        <w:pStyle w:val="3"/>
        <w:snapToGrid/>
        <w:spacing w:before="447" w:line="360" w:lineRule="auto"/>
        <w:ind w:firstLine="607"/>
        <w:rPr>
          <w:rFonts w:hint="eastAsia"/>
          <w:color w:val="auto"/>
        </w:rPr>
      </w:pPr>
      <w:bookmarkStart w:id="20" w:name="_Toc1089808060"/>
      <w:r>
        <w:rPr>
          <w:rFonts w:ascii="楷体" w:hAnsi="楷体" w:eastAsia="楷体" w:cs="楷体"/>
          <w:color w:val="auto"/>
          <w:sz w:val="30"/>
        </w:rPr>
        <w:t>（三）评分要点(评分指标)</w:t>
      </w:r>
      <w:bookmarkEnd w:id="20"/>
    </w:p>
    <w:p w14:paraId="502DBD7B">
      <w:pPr>
        <w:snapToGrid/>
        <w:spacing w:before="272" w:line="360" w:lineRule="auto"/>
        <w:ind w:left="6" w:right="85" w:firstLine="561"/>
        <w:jc w:val="both"/>
        <w:rPr>
          <w:color w:val="auto"/>
        </w:rPr>
      </w:pPr>
      <w:r>
        <w:rPr>
          <w:rFonts w:ascii="仿宋_GB2312" w:hAnsi="仿宋_GB2312" w:eastAsia="仿宋_GB2312" w:cs="仿宋_GB2312"/>
          <w:color w:val="auto"/>
          <w:spacing w:val="-3"/>
        </w:rPr>
        <w:t xml:space="preserve">1.理论考试部分评分 </w:t>
      </w:r>
    </w:p>
    <w:p w14:paraId="320186FD">
      <w:pPr>
        <w:snapToGrid/>
        <w:spacing w:before="272" w:line="360" w:lineRule="auto"/>
        <w:ind w:left="6" w:right="85" w:firstLine="561"/>
        <w:jc w:val="both"/>
        <w:rPr>
          <w:color w:val="auto"/>
        </w:rPr>
      </w:pPr>
      <w:r>
        <w:rPr>
          <w:rFonts w:ascii="仿宋_GB2312" w:hAnsi="仿宋_GB2312" w:eastAsia="仿宋_GB2312" w:cs="仿宋_GB2312"/>
          <w:color w:val="auto"/>
          <w:spacing w:val="-3"/>
        </w:rPr>
        <w:t>理论考试部分总分20分，理论考试竞赛平台直接自动评分。</w:t>
      </w:r>
    </w:p>
    <w:p w14:paraId="4DED7BE1">
      <w:pPr>
        <w:snapToGrid/>
        <w:spacing w:before="272" w:line="360" w:lineRule="auto"/>
        <w:ind w:left="6" w:right="85" w:firstLine="561"/>
        <w:jc w:val="both"/>
        <w:rPr>
          <w:color w:val="auto"/>
        </w:rPr>
      </w:pPr>
      <w:r>
        <w:rPr>
          <w:rFonts w:ascii="仿宋_GB2312" w:hAnsi="仿宋_GB2312" w:eastAsia="仿宋_GB2312" w:cs="仿宋_GB2312"/>
          <w:color w:val="auto"/>
          <w:spacing w:val="-3"/>
        </w:rPr>
        <w:t xml:space="preserve">2.实践操作部分评分  </w:t>
      </w:r>
    </w:p>
    <w:p w14:paraId="6553D1D1">
      <w:pPr>
        <w:snapToGrid/>
        <w:spacing w:line="24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4</w:t>
      </w:r>
      <w:r>
        <w:rPr>
          <w:color w:val="auto"/>
        </w:rPr>
        <w:fldChar w:fldCharType="end"/>
      </w:r>
      <w:r>
        <w:rPr>
          <w:rFonts w:ascii="黑体" w:hAnsi="黑体" w:eastAsia="黑体" w:cs="黑体"/>
          <w:color w:val="auto"/>
          <w:sz w:val="24"/>
        </w:rPr>
        <w:t>评分要点</w:t>
      </w:r>
    </w:p>
    <w:tbl>
      <w:tblPr>
        <w:tblStyle w:val="15"/>
        <w:tblW w:w="0" w:type="auto"/>
        <w:tblInd w:w="116"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200"/>
        <w:gridCol w:w="1995"/>
        <w:gridCol w:w="5040"/>
        <w:gridCol w:w="795"/>
      </w:tblGrid>
      <w:tr w14:paraId="7F0EBA5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05" w:hRule="atLeast"/>
        </w:trPr>
        <w:tc>
          <w:tcPr>
            <w:tcW w:w="12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BAFE4BB">
            <w:pPr>
              <w:snapToGrid/>
              <w:spacing w:line="240" w:lineRule="auto"/>
              <w:jc w:val="center"/>
              <w:rPr>
                <w:rFonts w:ascii="宋体" w:hAnsi="宋体" w:eastAsia="宋体"/>
                <w:b/>
                <w:bCs/>
                <w:color w:val="auto"/>
              </w:rPr>
            </w:pPr>
            <w:r>
              <w:rPr>
                <w:rFonts w:ascii="宋体" w:hAnsi="宋体" w:eastAsia="宋体" w:cs="仿宋GB"/>
                <w:b/>
                <w:bCs/>
                <w:color w:val="auto"/>
                <w:sz w:val="24"/>
              </w:rPr>
              <w:t>阶段</w:t>
            </w: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07552E">
            <w:pPr>
              <w:snapToGrid/>
              <w:spacing w:line="240" w:lineRule="auto"/>
              <w:jc w:val="center"/>
              <w:rPr>
                <w:rFonts w:ascii="宋体" w:hAnsi="宋体" w:eastAsia="宋体"/>
                <w:b/>
                <w:bCs/>
                <w:color w:val="auto"/>
              </w:rPr>
            </w:pPr>
            <w:r>
              <w:rPr>
                <w:rFonts w:ascii="宋体" w:hAnsi="宋体" w:eastAsia="宋体" w:cs="仿宋GB"/>
                <w:b/>
                <w:bCs/>
                <w:color w:val="auto"/>
                <w:sz w:val="24"/>
              </w:rPr>
              <w:t>模块</w:t>
            </w:r>
          </w:p>
        </w:tc>
        <w:tc>
          <w:tcPr>
            <w:tcW w:w="50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917D93B">
            <w:pPr>
              <w:snapToGrid/>
              <w:spacing w:line="240" w:lineRule="auto"/>
              <w:jc w:val="center"/>
              <w:rPr>
                <w:rFonts w:ascii="宋体" w:hAnsi="宋体" w:eastAsia="宋体"/>
                <w:b/>
                <w:bCs/>
                <w:color w:val="auto"/>
              </w:rPr>
            </w:pPr>
            <w:r>
              <w:rPr>
                <w:rFonts w:ascii="宋体" w:hAnsi="宋体" w:eastAsia="宋体" w:cs="仿宋GB"/>
                <w:b/>
                <w:bCs/>
                <w:color w:val="auto"/>
                <w:sz w:val="24"/>
              </w:rPr>
              <w:t>评分要点</w:t>
            </w:r>
          </w:p>
        </w:tc>
        <w:tc>
          <w:tcPr>
            <w:tcW w:w="7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799464">
            <w:pPr>
              <w:snapToGrid/>
              <w:spacing w:line="240" w:lineRule="auto"/>
              <w:jc w:val="center"/>
              <w:rPr>
                <w:rFonts w:ascii="宋体" w:hAnsi="宋体" w:eastAsia="宋体"/>
                <w:b/>
                <w:bCs/>
                <w:color w:val="auto"/>
              </w:rPr>
            </w:pPr>
            <w:r>
              <w:rPr>
                <w:rFonts w:ascii="宋体" w:hAnsi="宋体" w:eastAsia="宋体" w:cs="仿宋GB"/>
                <w:b/>
                <w:bCs/>
                <w:color w:val="auto"/>
                <w:sz w:val="24"/>
              </w:rPr>
              <w:t>分值</w:t>
            </w:r>
          </w:p>
        </w:tc>
      </w:tr>
      <w:tr w14:paraId="2E60E4D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0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3F8D45">
            <w:pPr>
              <w:snapToGrid/>
              <w:spacing w:line="240" w:lineRule="auto"/>
              <w:jc w:val="center"/>
              <w:rPr>
                <w:rFonts w:ascii="宋体" w:hAnsi="宋体" w:eastAsia="宋体"/>
                <w:color w:val="auto"/>
              </w:rPr>
            </w:pPr>
            <w:r>
              <w:rPr>
                <w:rFonts w:ascii="宋体" w:hAnsi="宋体" w:eastAsia="宋体" w:cs="仿宋GB"/>
                <w:color w:val="auto"/>
                <w:sz w:val="24"/>
              </w:rPr>
              <w:t>实操阶段</w:t>
            </w:r>
          </w:p>
        </w:tc>
        <w:tc>
          <w:tcPr>
            <w:tcW w:w="19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F5C8E0">
            <w:pPr>
              <w:snapToGrid/>
              <w:spacing w:line="240" w:lineRule="auto"/>
              <w:jc w:val="center"/>
              <w:rPr>
                <w:rFonts w:ascii="宋体" w:hAnsi="宋体" w:eastAsia="宋体"/>
                <w:color w:val="auto"/>
              </w:rPr>
            </w:pPr>
            <w:r>
              <w:rPr>
                <w:rFonts w:ascii="宋体" w:hAnsi="宋体" w:eastAsia="宋体" w:cs="仿宋GB"/>
                <w:color w:val="auto"/>
                <w:sz w:val="24"/>
              </w:rPr>
              <w:t>模块一：</w:t>
            </w:r>
          </w:p>
          <w:p w14:paraId="31D6F76F">
            <w:pPr>
              <w:snapToGrid/>
              <w:spacing w:line="240" w:lineRule="auto"/>
              <w:jc w:val="center"/>
              <w:rPr>
                <w:rFonts w:ascii="宋体" w:hAnsi="宋体" w:eastAsia="宋体"/>
                <w:color w:val="auto"/>
              </w:rPr>
            </w:pPr>
            <w:r>
              <w:rPr>
                <w:rFonts w:hint="eastAsia" w:ascii="宋体" w:hAnsi="宋体" w:eastAsia="宋体" w:cs="仿宋GB"/>
                <w:color w:val="auto"/>
                <w:sz w:val="24"/>
              </w:rPr>
              <w:t>工业数据建模</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700C4FD">
            <w:pPr>
              <w:snapToGrid/>
              <w:spacing w:line="240" w:lineRule="auto"/>
              <w:rPr>
                <w:rFonts w:ascii="宋体" w:hAnsi="宋体" w:eastAsia="宋体"/>
                <w:color w:val="auto"/>
              </w:rPr>
            </w:pPr>
            <w:r>
              <w:rPr>
                <w:rFonts w:hint="eastAsia" w:ascii="宋体" w:hAnsi="宋体" w:eastAsia="宋体" w:cs="仿宋GB"/>
                <w:color w:val="auto"/>
                <w:sz w:val="24"/>
              </w:rPr>
              <w:t>工业数据数字化建模完成，能显示测点的实时数据</w:t>
            </w:r>
            <w:r>
              <w:rPr>
                <w:rFonts w:ascii="宋体" w:hAnsi="宋体" w:eastAsia="宋体" w:cs="仿宋GB"/>
                <w:color w:val="auto"/>
                <w:sz w:val="24"/>
              </w:rPr>
              <w:t>。</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9C37AA9">
            <w:pPr>
              <w:snapToGrid/>
              <w:spacing w:line="240" w:lineRule="auto"/>
              <w:jc w:val="center"/>
              <w:rPr>
                <w:rFonts w:ascii="宋体" w:hAnsi="宋体" w:eastAsia="宋体"/>
                <w:color w:val="auto"/>
              </w:rPr>
            </w:pPr>
            <w:r>
              <w:rPr>
                <w:rFonts w:hint="eastAsia" w:ascii="宋体" w:hAnsi="宋体" w:eastAsia="宋体" w:cs="仿宋GB"/>
                <w:color w:val="auto"/>
                <w:sz w:val="24"/>
              </w:rPr>
              <w:t>20</w:t>
            </w:r>
            <w:r>
              <w:rPr>
                <w:rFonts w:ascii="宋体" w:hAnsi="宋体" w:eastAsia="宋体" w:cs="仿宋GB"/>
                <w:color w:val="auto"/>
                <w:sz w:val="24"/>
              </w:rPr>
              <w:t>分</w:t>
            </w:r>
          </w:p>
        </w:tc>
      </w:tr>
      <w:tr w14:paraId="4CC4DD9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0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868F478">
            <w:pPr>
              <w:snapToGrid/>
              <w:spacing w:line="240" w:lineRule="auto"/>
              <w:rPr>
                <w:rFonts w:ascii="宋体" w:hAnsi="宋体" w:eastAsia="宋体"/>
                <w:color w:val="auto"/>
              </w:rPr>
            </w:pP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9B1B22">
            <w:pPr>
              <w:snapToGrid/>
              <w:spacing w:line="240" w:lineRule="auto"/>
              <w:jc w:val="center"/>
              <w:rPr>
                <w:rFonts w:ascii="宋体" w:hAnsi="宋体" w:eastAsia="宋体"/>
                <w:color w:val="auto"/>
              </w:rPr>
            </w:pPr>
            <w:r>
              <w:rPr>
                <w:rFonts w:ascii="宋体" w:hAnsi="宋体" w:eastAsia="宋体" w:cs="仿宋GB"/>
                <w:color w:val="auto"/>
                <w:sz w:val="24"/>
              </w:rPr>
              <w:t>模块二：</w:t>
            </w:r>
          </w:p>
          <w:p w14:paraId="3B99248B">
            <w:pPr>
              <w:snapToGrid/>
              <w:spacing w:line="240" w:lineRule="auto"/>
              <w:jc w:val="center"/>
              <w:rPr>
                <w:rFonts w:ascii="宋体" w:hAnsi="宋体" w:eastAsia="宋体"/>
                <w:color w:val="auto"/>
              </w:rPr>
            </w:pPr>
            <w:r>
              <w:rPr>
                <w:rFonts w:hint="eastAsia" w:ascii="宋体" w:hAnsi="宋体" w:eastAsia="宋体"/>
                <w:color w:val="auto"/>
              </w:rPr>
              <w:t>数据可视化分析</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218C80">
            <w:pPr>
              <w:snapToGrid/>
              <w:spacing w:line="240" w:lineRule="auto"/>
              <w:rPr>
                <w:rFonts w:ascii="宋体" w:hAnsi="宋体" w:eastAsia="宋体"/>
                <w:color w:val="auto"/>
              </w:rPr>
            </w:pPr>
            <w:r>
              <w:rPr>
                <w:rFonts w:hint="eastAsia" w:ascii="宋体" w:hAnsi="宋体" w:eastAsia="宋体" w:cs="仿宋GB"/>
                <w:color w:val="auto"/>
                <w:sz w:val="24"/>
              </w:rPr>
              <w:t>通过可视化工具能准确使用图表展示与分析设备实时数据</w:t>
            </w:r>
            <w:r>
              <w:rPr>
                <w:rFonts w:ascii="宋体" w:hAnsi="宋体" w:eastAsia="宋体" w:cs="仿宋GB"/>
                <w:color w:val="auto"/>
                <w:sz w:val="24"/>
              </w:rPr>
              <w:t>。</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0BF0863">
            <w:pPr>
              <w:snapToGrid/>
              <w:spacing w:line="240" w:lineRule="auto"/>
              <w:jc w:val="center"/>
              <w:rPr>
                <w:rFonts w:ascii="宋体" w:hAnsi="宋体" w:eastAsia="宋体"/>
                <w:color w:val="auto"/>
              </w:rPr>
            </w:pPr>
            <w:r>
              <w:rPr>
                <w:rFonts w:hint="eastAsia" w:ascii="宋体" w:hAnsi="宋体" w:eastAsia="宋体" w:cs="仿宋GB"/>
                <w:color w:val="auto"/>
                <w:sz w:val="24"/>
              </w:rPr>
              <w:t>40</w:t>
            </w:r>
            <w:r>
              <w:rPr>
                <w:rFonts w:ascii="宋体" w:hAnsi="宋体" w:eastAsia="宋体" w:cs="仿宋GB"/>
                <w:color w:val="auto"/>
                <w:sz w:val="24"/>
              </w:rPr>
              <w:t>分</w:t>
            </w:r>
          </w:p>
        </w:tc>
      </w:tr>
      <w:tr w14:paraId="1EC0165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120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21D7812">
            <w:pPr>
              <w:snapToGrid/>
              <w:spacing w:line="240" w:lineRule="auto"/>
              <w:rPr>
                <w:rFonts w:ascii="宋体" w:hAnsi="宋体" w:eastAsia="宋体"/>
                <w:color w:val="auto"/>
              </w:rPr>
            </w:pP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FAAAA8">
            <w:pPr>
              <w:snapToGrid/>
              <w:spacing w:line="240" w:lineRule="auto"/>
              <w:jc w:val="center"/>
              <w:rPr>
                <w:rFonts w:ascii="宋体" w:hAnsi="宋体" w:eastAsia="宋体"/>
                <w:color w:val="auto"/>
              </w:rPr>
            </w:pPr>
            <w:r>
              <w:rPr>
                <w:rFonts w:ascii="宋体" w:hAnsi="宋体" w:eastAsia="宋体" w:cs="仿宋GB"/>
                <w:color w:val="auto"/>
                <w:sz w:val="24"/>
              </w:rPr>
              <w:t>模块三：</w:t>
            </w:r>
          </w:p>
          <w:p w14:paraId="16D40905">
            <w:pPr>
              <w:snapToGrid/>
              <w:spacing w:line="240" w:lineRule="auto"/>
              <w:jc w:val="center"/>
              <w:rPr>
                <w:rFonts w:ascii="宋体" w:hAnsi="宋体" w:eastAsia="宋体"/>
                <w:color w:val="auto"/>
              </w:rPr>
            </w:pPr>
            <w:r>
              <w:rPr>
                <w:rFonts w:hint="eastAsia" w:ascii="宋体" w:hAnsi="宋体" w:eastAsia="宋体" w:cs="仿宋GB"/>
                <w:color w:val="auto"/>
                <w:sz w:val="24"/>
              </w:rPr>
              <w:t>数据报警分析</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F913DE7">
            <w:pPr>
              <w:snapToGrid/>
              <w:spacing w:line="240" w:lineRule="auto"/>
              <w:rPr>
                <w:rFonts w:ascii="宋体" w:hAnsi="宋体" w:eastAsia="宋体"/>
                <w:color w:val="auto"/>
              </w:rPr>
            </w:pPr>
            <w:r>
              <w:rPr>
                <w:rFonts w:hint="eastAsia" w:ascii="宋体" w:hAnsi="宋体" w:eastAsia="宋体" w:cs="仿宋GB"/>
                <w:color w:val="auto"/>
                <w:sz w:val="24"/>
              </w:rPr>
              <w:t>正确创建设备指标报警规则，并完成报警数据的分析</w:t>
            </w:r>
            <w:r>
              <w:rPr>
                <w:rFonts w:ascii="宋体" w:hAnsi="宋体" w:eastAsia="宋体" w:cs="仿宋GB"/>
                <w:color w:val="auto"/>
                <w:sz w:val="24"/>
              </w:rPr>
              <w:t>。</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7B1D5E">
            <w:pPr>
              <w:snapToGrid/>
              <w:spacing w:line="240" w:lineRule="auto"/>
              <w:jc w:val="center"/>
              <w:rPr>
                <w:rFonts w:ascii="宋体" w:hAnsi="宋体" w:eastAsia="宋体"/>
                <w:color w:val="auto"/>
              </w:rPr>
            </w:pPr>
            <w:r>
              <w:rPr>
                <w:rFonts w:ascii="宋体" w:hAnsi="宋体" w:eastAsia="宋体" w:cs="仿宋GB"/>
                <w:color w:val="auto"/>
                <w:sz w:val="24"/>
              </w:rPr>
              <w:t>1</w:t>
            </w:r>
            <w:r>
              <w:rPr>
                <w:rFonts w:hint="eastAsia" w:ascii="宋体" w:hAnsi="宋体" w:eastAsia="宋体" w:cs="仿宋GB"/>
                <w:color w:val="auto"/>
                <w:sz w:val="24"/>
              </w:rPr>
              <w:t>0</w:t>
            </w:r>
            <w:r>
              <w:rPr>
                <w:rFonts w:ascii="宋体" w:hAnsi="宋体" w:eastAsia="宋体" w:cs="仿宋GB"/>
                <w:color w:val="auto"/>
                <w:sz w:val="24"/>
              </w:rPr>
              <w:t>分</w:t>
            </w:r>
          </w:p>
        </w:tc>
      </w:tr>
      <w:tr w14:paraId="070718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7" w:hRule="atLeast"/>
        </w:trPr>
        <w:tc>
          <w:tcPr>
            <w:tcW w:w="1200" w:type="dxa"/>
            <w:vMerge w:val="continue"/>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3F1E17B">
            <w:pPr>
              <w:snapToGrid/>
              <w:spacing w:line="240" w:lineRule="auto"/>
              <w:rPr>
                <w:rFonts w:ascii="宋体" w:hAnsi="宋体" w:eastAsia="宋体"/>
                <w:color w:val="auto"/>
              </w:rPr>
            </w:pPr>
          </w:p>
        </w:tc>
        <w:tc>
          <w:tcPr>
            <w:tcW w:w="19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2F0418F">
            <w:pPr>
              <w:snapToGrid/>
              <w:spacing w:line="240" w:lineRule="auto"/>
              <w:jc w:val="center"/>
              <w:rPr>
                <w:rFonts w:ascii="宋体" w:hAnsi="宋体" w:eastAsia="宋体"/>
                <w:color w:val="auto"/>
              </w:rPr>
            </w:pPr>
            <w:r>
              <w:rPr>
                <w:rFonts w:ascii="宋体" w:hAnsi="宋体" w:eastAsia="宋体" w:cs="仿宋GB"/>
                <w:color w:val="auto"/>
                <w:sz w:val="24"/>
              </w:rPr>
              <w:t>职业素养</w:t>
            </w:r>
          </w:p>
        </w:tc>
        <w:tc>
          <w:tcPr>
            <w:tcW w:w="50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D551DA">
            <w:pPr>
              <w:snapToGrid/>
              <w:spacing w:line="240" w:lineRule="auto"/>
              <w:rPr>
                <w:rFonts w:ascii="宋体" w:hAnsi="宋体" w:eastAsia="宋体"/>
                <w:color w:val="auto"/>
              </w:rPr>
            </w:pPr>
            <w:r>
              <w:rPr>
                <w:rFonts w:ascii="宋体" w:hAnsi="宋体" w:eastAsia="宋体" w:cs="仿宋GB"/>
                <w:color w:val="auto"/>
                <w:sz w:val="24"/>
              </w:rPr>
              <w:t>参赛选手的参赛规范、文明竞赛。</w:t>
            </w:r>
          </w:p>
        </w:tc>
        <w:tc>
          <w:tcPr>
            <w:tcW w:w="7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AB77866">
            <w:pPr>
              <w:snapToGrid/>
              <w:spacing w:line="240" w:lineRule="auto"/>
              <w:jc w:val="center"/>
              <w:rPr>
                <w:rFonts w:ascii="宋体" w:hAnsi="宋体" w:eastAsia="宋体"/>
                <w:color w:val="auto"/>
              </w:rPr>
            </w:pPr>
            <w:r>
              <w:rPr>
                <w:rFonts w:ascii="宋体" w:hAnsi="宋体" w:eastAsia="宋体" w:cs="仿宋GB"/>
                <w:color w:val="auto"/>
                <w:sz w:val="24"/>
              </w:rPr>
              <w:t>10分</w:t>
            </w:r>
          </w:p>
        </w:tc>
      </w:tr>
    </w:tbl>
    <w:p w14:paraId="62579384">
      <w:pPr>
        <w:snapToGrid/>
        <w:spacing w:before="272" w:line="360" w:lineRule="auto"/>
        <w:ind w:left="6" w:right="85" w:firstLine="561"/>
        <w:jc w:val="both"/>
        <w:rPr>
          <w:color w:val="auto"/>
        </w:rPr>
      </w:pPr>
      <w:r>
        <w:rPr>
          <w:rFonts w:ascii="仿宋_GB2312" w:hAnsi="仿宋_GB2312" w:eastAsia="仿宋_GB2312" w:cs="仿宋_GB2312"/>
          <w:color w:val="auto"/>
          <w:spacing w:val="-3"/>
        </w:rPr>
        <w:t>实践操作由裁判按照表4评分要点评分。</w:t>
      </w:r>
    </w:p>
    <w:p w14:paraId="7FAD27E3">
      <w:pPr>
        <w:pStyle w:val="3"/>
        <w:snapToGrid/>
        <w:spacing w:before="447" w:line="192" w:lineRule="auto"/>
        <w:ind w:firstLine="607"/>
        <w:rPr>
          <w:rFonts w:hint="eastAsia"/>
          <w:color w:val="auto"/>
        </w:rPr>
      </w:pPr>
      <w:bookmarkStart w:id="21" w:name="_Toc516039157"/>
      <w:r>
        <w:rPr>
          <w:rFonts w:ascii="楷体" w:hAnsi="楷体" w:eastAsia="楷体" w:cs="楷体"/>
          <w:color w:val="auto"/>
          <w:sz w:val="30"/>
        </w:rPr>
        <w:t>（四）技术规范</w:t>
      </w:r>
      <w:bookmarkEnd w:id="21"/>
    </w:p>
    <w:p w14:paraId="2C519832">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"https://std.samr.gov.cn/gb/search/gbDetailed?id=F159DFC2A90347EFE05397BE0A0AF334" \l "tdsub" \t "dlf" </w:instrText>
      </w:r>
      <w:r>
        <w:fldChar w:fldCharType="separate"/>
      </w:r>
      <w:r>
        <w:rPr>
          <w:rFonts w:ascii="仿宋_GB2312" w:hAnsi="仿宋_GB2312" w:eastAsia="仿宋_GB2312" w:cs="仿宋_GB2312"/>
          <w:color w:val="auto"/>
          <w:spacing w:val="-3"/>
        </w:rPr>
        <w:t>GB/T 42128-2022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分类原则</w:t>
      </w:r>
    </w:p>
    <w:p w14:paraId="1DFAC68C">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"https://std.samr.gov.cn/gb/search/gbDetailed?id=F159DFC2A89F47EFE05397BE0A0AF334" \l "tdsub" \t "dlf" </w:instrText>
      </w:r>
      <w:r>
        <w:fldChar w:fldCharType="separate"/>
      </w:r>
      <w:r>
        <w:rPr>
          <w:rFonts w:ascii="仿宋_GB2312" w:hAnsi="仿宋_GB2312" w:eastAsia="仿宋_GB2312" w:cs="仿宋_GB2312"/>
          <w:color w:val="auto"/>
          <w:spacing w:val="-3"/>
        </w:rPr>
        <w:t>GB/T 42203-2022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云端适配规范</w:t>
      </w:r>
    </w:p>
    <w:p w14:paraId="6E1AB8A4">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"https://std.samr.gov.cn/gb/search/gbDetailed?id=CE1E6A1DD4B058F6E05397BE0A0A68DF" \l "tdsub" \t "dlf" </w:instrText>
      </w:r>
      <w:r>
        <w:fldChar w:fldCharType="separate"/>
      </w:r>
      <w:r>
        <w:rPr>
          <w:rFonts w:ascii="仿宋_GB2312" w:hAnsi="仿宋_GB2312" w:eastAsia="仿宋_GB2312" w:cs="仿宋_GB2312"/>
          <w:color w:val="auto"/>
          <w:spacing w:val="-3"/>
        </w:rPr>
        <w:t>GB/T 40693-2021</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工业云服务</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数据管理通用要求</w:t>
      </w:r>
    </w:p>
    <w:p w14:paraId="4654B9F2">
      <w:pPr>
        <w:snapToGrid/>
        <w:spacing w:before="272" w:line="360" w:lineRule="auto"/>
        <w:ind w:left="6" w:right="85" w:firstLine="561"/>
        <w:rPr>
          <w:color w:val="auto"/>
        </w:rPr>
      </w:pPr>
      <w:r>
        <w:rPr>
          <w:rFonts w:ascii="仿宋_GB2312" w:hAnsi="仿宋_GB2312" w:eastAsia="仿宋_GB2312" w:cs="仿宋_GB2312"/>
          <w:color w:val="auto"/>
          <w:spacing w:val="-3"/>
        </w:rPr>
        <w:t>GB/T 38672-2020 信息技术 大数据接口基本要求</w:t>
      </w:r>
    </w:p>
    <w:p w14:paraId="2D74079C">
      <w:pPr>
        <w:snapToGrid/>
        <w:spacing w:before="272" w:line="360" w:lineRule="auto"/>
        <w:ind w:left="6" w:right="85" w:firstLine="561"/>
        <w:rPr>
          <w:color w:val="auto"/>
        </w:rPr>
      </w:pPr>
      <w:r>
        <w:rPr>
          <w:rFonts w:ascii="仿宋_GB2312" w:hAnsi="仿宋_GB2312" w:eastAsia="仿宋_GB2312" w:cs="仿宋_GB2312"/>
          <w:color w:val="auto"/>
          <w:spacing w:val="-3"/>
        </w:rPr>
        <w:t>GB/T 38673-2020 信息技术 大数据大数据系统基本要求</w:t>
      </w:r>
    </w:p>
    <w:p w14:paraId="55534C2F">
      <w:pPr>
        <w:snapToGrid/>
        <w:spacing w:before="272" w:line="360" w:lineRule="auto"/>
        <w:ind w:left="6" w:right="85" w:firstLine="561"/>
        <w:rPr>
          <w:color w:val="auto"/>
        </w:rPr>
      </w:pPr>
      <w:r>
        <w:rPr>
          <w:rFonts w:ascii="仿宋_GB2312" w:hAnsi="仿宋_GB2312" w:eastAsia="仿宋_GB2312" w:cs="仿宋_GB2312"/>
          <w:color w:val="auto"/>
          <w:spacing w:val="-3"/>
        </w:rPr>
        <w:t>GB/T 38676-2020 信息技术 大数据存储与处理系统功能测试要求</w:t>
      </w:r>
    </w:p>
    <w:p w14:paraId="54E79BF4">
      <w:pPr>
        <w:snapToGrid/>
        <w:spacing w:before="272" w:line="360" w:lineRule="auto"/>
        <w:ind w:left="6" w:right="85" w:firstLine="561"/>
        <w:rPr>
          <w:color w:val="auto"/>
        </w:rPr>
      </w:pPr>
      <w:r>
        <w:rPr>
          <w:rFonts w:ascii="仿宋_GB2312" w:hAnsi="仿宋_GB2312" w:eastAsia="仿宋_GB2312" w:cs="仿宋_GB2312"/>
          <w:color w:val="auto"/>
          <w:spacing w:val="-3"/>
        </w:rPr>
        <w:t>GB/T 38643-2020 信息技术 大数据分析系统功能测试要求</w:t>
      </w:r>
    </w:p>
    <w:p w14:paraId="79D557B2">
      <w:pPr>
        <w:snapToGrid/>
        <w:spacing w:before="272" w:line="360" w:lineRule="auto"/>
        <w:ind w:left="6" w:right="85" w:firstLine="561"/>
        <w:rPr>
          <w:color w:val="auto"/>
        </w:rPr>
      </w:pPr>
      <w:r>
        <w:rPr>
          <w:rFonts w:ascii="仿宋_GB2312" w:hAnsi="仿宋_GB2312" w:eastAsia="仿宋_GB2312" w:cs="仿宋_GB2312"/>
          <w:color w:val="auto"/>
          <w:spacing w:val="-3"/>
        </w:rPr>
        <w:t>GB/T 38675-2020 信息技术 大数据计算系统通用要求</w:t>
      </w:r>
    </w:p>
    <w:p w14:paraId="6B9EBBEA">
      <w:pPr>
        <w:snapToGrid/>
        <w:spacing w:before="272" w:line="360" w:lineRule="auto"/>
        <w:ind w:left="6" w:right="85" w:firstLine="561"/>
        <w:rPr>
          <w:color w:val="auto"/>
        </w:rPr>
      </w:pPr>
      <w:r>
        <w:rPr>
          <w:rFonts w:ascii="仿宋_GB2312" w:hAnsi="仿宋_GB2312" w:eastAsia="仿宋_GB2312" w:cs="仿宋_GB2312"/>
          <w:color w:val="auto"/>
          <w:spacing w:val="-3"/>
        </w:rPr>
        <w:t>GB/T 38633-2020 信息技术 大数据系统运维和管理功能要求</w:t>
      </w:r>
    </w:p>
    <w:p w14:paraId="27012888">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"https://std.samr.gov.cn/gb/search/gbDetailed?id=F159DFC2A90247EFE05397BE0A0AF334" \l "tdsub" \t "dlf" </w:instrText>
      </w:r>
      <w:r>
        <w:fldChar w:fldCharType="separate"/>
      </w:r>
      <w:r>
        <w:rPr>
          <w:rFonts w:ascii="仿宋_GB2312" w:hAnsi="仿宋_GB2312" w:eastAsia="仿宋_GB2312" w:cs="仿宋_GB2312"/>
          <w:color w:val="auto"/>
          <w:spacing w:val="-3"/>
        </w:rPr>
        <w:t>GB/T 42127-2022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采集规范</w:t>
      </w:r>
    </w:p>
    <w:p w14:paraId="218D668E">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"https://std.samr.gov.cn/gb/search/gbDetailed?id=B4C25880C2E31CB3E05397BE0A0A92D0" \l "tdsub" \t "dlf" </w:instrText>
      </w:r>
      <w:r>
        <w:fldChar w:fldCharType="separate"/>
      </w:r>
      <w:r>
        <w:rPr>
          <w:rFonts w:ascii="仿宋_GB2312" w:hAnsi="仿宋_GB2312" w:eastAsia="仿宋_GB2312" w:cs="仿宋_GB2312"/>
          <w:color w:val="auto"/>
          <w:spacing w:val="-3"/>
        </w:rPr>
        <w:t>GB/T 39400-2020</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工业数据质量 通用技术规范</w:t>
      </w:r>
    </w:p>
    <w:p w14:paraId="33498004">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"https://std.samr.gov.cn/gb/search/gbDetailed?id=EB58F4DA923CB2A2E05397BE0A0A7D33" \l "tdsub" \t "dlf" </w:instrText>
      </w:r>
      <w:r>
        <w:fldChar w:fldCharType="separate"/>
      </w:r>
      <w:r>
        <w:rPr>
          <w:rFonts w:ascii="仿宋_GB2312" w:hAnsi="仿宋_GB2312" w:eastAsia="仿宋_GB2312" w:cs="仿宋_GB2312"/>
          <w:color w:val="auto"/>
          <w:spacing w:val="-3"/>
        </w:rPr>
        <w:t>GB/T 41778-2022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信息技术</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工业大数据</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术语</w:t>
      </w:r>
    </w:p>
    <w:p w14:paraId="016B0EFA">
      <w:pPr>
        <w:snapToGrid/>
        <w:spacing w:before="272" w:line="360" w:lineRule="auto"/>
        <w:ind w:left="6" w:right="85" w:firstLine="561"/>
        <w:rPr>
          <w:rFonts w:ascii="仿宋_GB2312" w:hAnsi="仿宋_GB2312" w:eastAsia="仿宋_GB2312" w:cs="仿宋_GB2312"/>
          <w:color w:val="auto"/>
          <w:spacing w:val="-3"/>
        </w:rPr>
      </w:pPr>
      <w:r>
        <w:fldChar w:fldCharType="begin"/>
      </w:r>
      <w:r>
        <w:instrText xml:space="preserve"> HYPERLINK "https://std.samr.gov.cn/gb/search/gbDetailed?id=F159DFC2A90447EFE05397BE0A0AF334" \l "tdsub" \t "dlf" </w:instrText>
      </w:r>
      <w:r>
        <w:fldChar w:fldCharType="separate"/>
      </w:r>
      <w:r>
        <w:rPr>
          <w:rFonts w:ascii="仿宋_GB2312" w:hAnsi="仿宋_GB2312" w:eastAsia="仿宋_GB2312" w:cs="仿宋_GB2312"/>
          <w:color w:val="auto"/>
          <w:spacing w:val="-3"/>
        </w:rPr>
        <w:t>GB/T 42130-2022</w:t>
      </w:r>
      <w:r>
        <w:rPr>
          <w:rFonts w:ascii="仿宋_GB2312" w:hAnsi="仿宋_GB2312" w:eastAsia="仿宋_GB2312" w:cs="仿宋_GB2312"/>
          <w:color w:val="auto"/>
          <w:spacing w:val="-3"/>
        </w:rPr>
        <w:fldChar w:fldCharType="end"/>
      </w:r>
      <w:r>
        <w:rPr>
          <w:rFonts w:ascii="仿宋_GB2312" w:hAnsi="仿宋_GB2312" w:eastAsia="仿宋_GB2312" w:cs="仿宋_GB2312"/>
          <w:color w:val="auto"/>
          <w:spacing w:val="-3"/>
        </w:rPr>
        <w:t xml:space="preserve"> 智能制造</w:t>
      </w:r>
      <w:r>
        <w:rPr>
          <w:rFonts w:ascii="仿宋_GB2312" w:hAnsi="仿宋_GB2312" w:eastAsia="仿宋_GB2312" w:cs="仿宋_GB2312"/>
          <w:color w:val="FF0000"/>
          <w:spacing w:val="-3"/>
        </w:rPr>
        <w:t> </w:t>
      </w:r>
      <w:r>
        <w:rPr>
          <w:rFonts w:ascii="仿宋_GB2312" w:hAnsi="仿宋_GB2312" w:eastAsia="仿宋_GB2312" w:cs="仿宋_GB2312"/>
          <w:color w:val="auto"/>
          <w:spacing w:val="-3"/>
        </w:rPr>
        <w:t>工业大数据系统功能要求</w:t>
      </w:r>
    </w:p>
    <w:p w14:paraId="0A9A6BB6">
      <w:pPr>
        <w:snapToGrid/>
        <w:spacing w:before="272" w:line="360" w:lineRule="auto"/>
        <w:ind w:left="6" w:right="85" w:firstLine="561"/>
        <w:rPr>
          <w:color w:val="auto"/>
        </w:rPr>
      </w:pPr>
      <w:r>
        <w:rPr>
          <w:rFonts w:ascii="仿宋_GB2312" w:hAnsi="仿宋_GB2312" w:eastAsia="仿宋_GB2312" w:cs="仿宋_GB2312"/>
          <w:color w:val="auto"/>
          <w:spacing w:val="-3"/>
        </w:rPr>
        <w:t xml:space="preserve">职业素养与安全要求： </w:t>
      </w:r>
    </w:p>
    <w:p w14:paraId="51BCDCE7">
      <w:pPr>
        <w:snapToGrid/>
        <w:spacing w:before="272" w:line="360" w:lineRule="auto"/>
        <w:ind w:left="6" w:right="85" w:firstLine="561"/>
        <w:rPr>
          <w:color w:val="auto"/>
        </w:rPr>
      </w:pPr>
      <w:r>
        <w:rPr>
          <w:rFonts w:ascii="仿宋_GB2312" w:hAnsi="仿宋_GB2312" w:eastAsia="仿宋_GB2312" w:cs="仿宋_GB2312"/>
          <w:color w:val="auto"/>
          <w:spacing w:val="-3"/>
        </w:rPr>
        <w:t>严格遵循相关职业素养要求及安全规范，安全文明参赛；操作规范；</w:t>
      </w:r>
    </w:p>
    <w:p w14:paraId="2E9F7009">
      <w:pPr>
        <w:snapToGrid/>
        <w:spacing w:before="272" w:line="360" w:lineRule="auto"/>
        <w:ind w:left="6" w:right="85" w:firstLine="561"/>
        <w:rPr>
          <w:color w:val="auto"/>
        </w:rPr>
      </w:pPr>
      <w:r>
        <w:rPr>
          <w:rFonts w:ascii="仿宋_GB2312" w:hAnsi="仿宋_GB2312" w:eastAsia="仿宋_GB2312" w:cs="仿宋_GB2312"/>
          <w:color w:val="auto"/>
          <w:spacing w:val="-3"/>
        </w:rPr>
        <w:t>工具摆放整齐；着装规范；资料归档完整等。</w:t>
      </w:r>
    </w:p>
    <w:p w14:paraId="14E9311B">
      <w:pPr>
        <w:pStyle w:val="2"/>
        <w:snapToGrid/>
        <w:spacing w:before="450" w:line="185" w:lineRule="auto"/>
        <w:rPr>
          <w:rFonts w:hint="eastAsia"/>
          <w:color w:val="auto"/>
        </w:rPr>
      </w:pPr>
      <w:bookmarkStart w:id="22" w:name="_Toc1531145113"/>
      <w:r>
        <w:rPr>
          <w:rFonts w:ascii="黑体" w:hAnsi="黑体" w:eastAsia="黑体" w:cs="黑体"/>
          <w:color w:val="auto"/>
          <w:sz w:val="30"/>
        </w:rPr>
        <w:t>十、大赛平台说明</w:t>
      </w:r>
      <w:bookmarkEnd w:id="22"/>
    </w:p>
    <w:p w14:paraId="5A2242AD">
      <w:pPr>
        <w:snapToGrid/>
        <w:spacing w:line="240" w:lineRule="auto"/>
        <w:jc w:val="center"/>
        <w:rPr>
          <w:rFonts w:ascii="宋体" w:hAnsi="宋体" w:eastAsia="宋体" w:cs="仿宋GB"/>
          <w:color w:val="auto"/>
          <w:sz w:val="24"/>
        </w:rPr>
      </w:pPr>
      <w:r>
        <w:rPr>
          <w:rFonts w:ascii="宋体" w:hAnsi="宋体" w:eastAsia="宋体" w:cs="仿宋GB"/>
          <w:color w:val="auto"/>
          <w:sz w:val="24"/>
        </w:rPr>
        <w:t xml:space="preserve">表 </w:t>
      </w:r>
      <w:r>
        <w:rPr>
          <w:rFonts w:ascii="宋体" w:hAnsi="宋体" w:eastAsia="宋体" w:cs="仿宋GB"/>
          <w:color w:val="auto"/>
          <w:sz w:val="24"/>
        </w:rPr>
        <w:fldChar w:fldCharType="begin"/>
      </w:r>
      <w:r>
        <w:rPr>
          <w:rFonts w:ascii="宋体" w:hAnsi="宋体" w:eastAsia="宋体" w:cs="仿宋GB"/>
          <w:color w:val="auto"/>
          <w:sz w:val="24"/>
        </w:rPr>
        <w:instrText xml:space="preserve"> SEQ 表 \* ARABIC </w:instrText>
      </w:r>
      <w:r>
        <w:rPr>
          <w:rFonts w:ascii="宋体" w:hAnsi="宋体" w:eastAsia="宋体" w:cs="仿宋GB"/>
          <w:color w:val="auto"/>
          <w:sz w:val="24"/>
        </w:rPr>
        <w:fldChar w:fldCharType="separate"/>
      </w:r>
      <w:r>
        <w:rPr>
          <w:rFonts w:ascii="宋体" w:hAnsi="宋体" w:eastAsia="宋体" w:cs="仿宋GB"/>
          <w:color w:val="auto"/>
          <w:sz w:val="24"/>
        </w:rPr>
        <w:t>5</w:t>
      </w:r>
      <w:r>
        <w:rPr>
          <w:rFonts w:ascii="宋体" w:hAnsi="宋体" w:eastAsia="宋体" w:cs="仿宋GB"/>
          <w:color w:val="auto"/>
          <w:sz w:val="24"/>
        </w:rPr>
        <w:fldChar w:fldCharType="end"/>
      </w:r>
      <w:r>
        <w:rPr>
          <w:rFonts w:ascii="宋体" w:hAnsi="宋体" w:eastAsia="宋体" w:cs="仿宋GB"/>
          <w:color w:val="auto"/>
          <w:sz w:val="24"/>
        </w:rPr>
        <w:t>大赛平台说明</w:t>
      </w:r>
    </w:p>
    <w:tbl>
      <w:tblPr>
        <w:tblStyle w:val="15"/>
        <w:tblpPr w:leftFromText="108" w:rightFromText="108" w:vertAnchor="text" w:horzAnchor="page" w:tblpX="1574" w:tblpY="311"/>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14"/>
        <w:gridCol w:w="8231"/>
      </w:tblGrid>
      <w:tr w14:paraId="7B42CA0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832" w:hRule="atLeast"/>
        </w:trPr>
        <w:tc>
          <w:tcPr>
            <w:tcW w:w="8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BD356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实操平台</w:t>
            </w:r>
          </w:p>
        </w:tc>
        <w:tc>
          <w:tcPr>
            <w:tcW w:w="82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F6C345">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工业互联网平台</w:t>
            </w:r>
          </w:p>
        </w:tc>
      </w:tr>
      <w:tr w14:paraId="665B63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129B701">
            <w:pPr>
              <w:snapToGrid/>
              <w:spacing w:line="240" w:lineRule="auto"/>
              <w:jc w:val="center"/>
              <w:rPr>
                <w:rFonts w:ascii="仿宋_GB2312" w:hAnsi="仿宋_GB2312" w:eastAsia="仿宋_GB2312" w:cs="仿宋_GB2312"/>
                <w:color w:val="auto"/>
                <w:sz w:val="21"/>
              </w:rPr>
            </w:pPr>
            <w:r>
              <w:rPr>
                <w:rFonts w:hint="eastAsia" w:ascii="仿宋_GB2312" w:hAnsi="仿宋_GB2312" w:eastAsia="仿宋_GB2312" w:cs="仿宋_GB2312"/>
                <w:color w:val="auto"/>
                <w:sz w:val="21"/>
              </w:rPr>
              <w:t>功能描述</w:t>
            </w:r>
          </w:p>
        </w:tc>
        <w:tc>
          <w:tcPr>
            <w:tcW w:w="823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0BFF8F2C">
            <w:pPr>
              <w:snapToGrid/>
              <w:spacing w:before="272" w:line="360" w:lineRule="auto"/>
              <w:ind w:right="85"/>
              <w:jc w:val="both"/>
              <w:rPr>
                <w:rFonts w:ascii="仿宋_GB2312" w:hAnsi="仿宋_GB2312" w:eastAsia="仿宋_GB2312" w:cs="仿宋_GB2312"/>
                <w:color w:val="auto"/>
                <w:sz w:val="24"/>
                <w:szCs w:val="24"/>
              </w:rPr>
            </w:pPr>
            <w:r>
              <w:rPr>
                <w:rFonts w:ascii="仿宋_GB2312" w:hAnsi="仿宋_GB2312" w:eastAsia="仿宋_GB2312" w:cs="仿宋_GB2312"/>
                <w:color w:val="auto"/>
                <w:spacing w:val="-3"/>
                <w:sz w:val="21"/>
              </w:rPr>
              <w:t>工业互联网平台采用主流容器技术，支持公有云和私有化部署模式，能灵活适配不同用户需求；平台兼具实训和考核功能，全方位满足教学与评估需求。在功能架构上，工业互联网平台不仅具备边缘管理、数据接入、设备管理等基础功能，还深度融合数据分析能力。通过强大的数据接入模块，平台可高效采集多源异构数据，借助计算分析和规则引擎功能，对海量工业数据进行清洗、转换与深度挖掘，从设备运行参数到生产流程数据，精准识别数据特征和潜在规律。同时，平台集成的可视化开发功能，能将复杂的分析结果转化为直观易懂的图表、看板，便于用户快速洞察数据价值。此外，平台还涵盖设备监控、通知管理、任务调度及系统管理等功能，确保数据分析全流程稳定运行。平台基于 B/S 架构，无需复杂的客户端安装，用户通过浏览器即可便捷访问，为工业互联网实训教学提供实操和考核支持，助力学员掌握工业数据处理与分析的核心技能。</w:t>
            </w:r>
          </w:p>
        </w:tc>
      </w:tr>
      <w:tr w14:paraId="1814EF7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3FAFD6D">
            <w:pPr>
              <w:snapToGrid/>
              <w:spacing w:line="240" w:lineRule="auto"/>
              <w:jc w:val="center"/>
              <w:rPr>
                <w:rFonts w:ascii="仿宋_GB2312" w:hAnsi="仿宋_GB2312" w:eastAsia="仿宋_GB2312" w:cs="仿宋_GB2312"/>
                <w:color w:val="auto"/>
                <w:sz w:val="21"/>
              </w:rPr>
            </w:pPr>
            <w:r>
              <w:rPr>
                <w:rFonts w:hint="eastAsia" w:ascii="仿宋_GB2312" w:hAnsi="仿宋_GB2312" w:eastAsia="仿宋_GB2312" w:cs="仿宋_GB2312"/>
                <w:color w:val="auto"/>
                <w:sz w:val="21"/>
              </w:rPr>
              <w:t>技术参数</w:t>
            </w:r>
          </w:p>
        </w:tc>
        <w:tc>
          <w:tcPr>
            <w:tcW w:w="8231"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14:paraId="2F1C2AF8">
            <w:pPr>
              <w:rPr>
                <w:rFonts w:ascii="仿宋" w:hAnsi="仿宋" w:cs="仿宋"/>
                <w:sz w:val="21"/>
              </w:rPr>
            </w:pPr>
            <w:r>
              <w:rPr>
                <w:rFonts w:hint="eastAsia" w:ascii="仿宋" w:hAnsi="仿宋" w:cs="仿宋"/>
                <w:sz w:val="21"/>
              </w:rPr>
              <w:t>1、边缘管理</w:t>
            </w:r>
          </w:p>
          <w:p w14:paraId="68F1436B">
            <w:pPr>
              <w:snapToGrid/>
              <w:spacing w:before="272" w:line="360" w:lineRule="auto"/>
              <w:ind w:right="85"/>
              <w:jc w:val="both"/>
              <w:rPr>
                <w:rFonts w:ascii="仿宋_GB2312" w:hAnsi="仿宋_GB2312" w:eastAsia="仿宋_GB2312" w:cs="仿宋_GB2312"/>
                <w:color w:val="auto"/>
                <w:spacing w:val="-3"/>
                <w:sz w:val="21"/>
              </w:rPr>
            </w:pPr>
            <w:r>
              <w:rPr>
                <w:rFonts w:hint="eastAsia" w:ascii="仿宋_GB2312" w:hAnsi="仿宋_GB2312" w:eastAsia="仿宋_GB2312" w:cs="仿宋_GB2312"/>
                <w:color w:val="auto"/>
                <w:spacing w:val="-3"/>
                <w:sz w:val="21"/>
              </w:rPr>
              <w:t>边缘端工业设备接入支持的工业协议：Modbus、OPC UA、西门子、三菱、支持RS485、RS232、RS422、以太网等接口采集数据，支持主流PLC及DCS系统驱动协议；向下连接其他控制系统和传感器，向上连接平台和数据使用者，完成数据的连接、整合和发布。</w:t>
            </w:r>
          </w:p>
          <w:p w14:paraId="3F4112E0">
            <w:pPr>
              <w:rPr>
                <w:rFonts w:ascii="仿宋" w:hAnsi="仿宋" w:cs="仿宋"/>
                <w:sz w:val="21"/>
              </w:rPr>
            </w:pPr>
            <w:r>
              <w:rPr>
                <w:rFonts w:hint="eastAsia" w:ascii="仿宋" w:hAnsi="仿宋" w:cs="仿宋"/>
                <w:sz w:val="21"/>
              </w:rPr>
              <w:t>2、接入管理</w:t>
            </w:r>
          </w:p>
          <w:p w14:paraId="6CFCB342">
            <w:pPr>
              <w:rPr>
                <w:rFonts w:ascii="仿宋" w:hAnsi="仿宋" w:cs="仿宋"/>
                <w:sz w:val="21"/>
              </w:rPr>
            </w:pPr>
            <w:r>
              <w:rPr>
                <w:rFonts w:hint="eastAsia" w:ascii="仿宋" w:hAnsi="仿宋" w:cs="仿宋"/>
                <w:sz w:val="21"/>
              </w:rPr>
              <w:t>（1）云端工业设备接入支持的工业协议：Modbus、OPC UA、西门子、三菱、支持RS485、RS232、RS422、以太网等接口采集数据，支持主流PLC及DCS系统驱动协议。</w:t>
            </w:r>
          </w:p>
          <w:p w14:paraId="4FFFFFE2">
            <w:pPr>
              <w:rPr>
                <w:rFonts w:ascii="仿宋" w:hAnsi="仿宋" w:cs="仿宋"/>
                <w:sz w:val="21"/>
              </w:rPr>
            </w:pPr>
            <w:r>
              <w:rPr>
                <w:rFonts w:hint="eastAsia" w:ascii="仿宋" w:hAnsi="仿宋" w:cs="仿宋"/>
                <w:sz w:val="21"/>
              </w:rPr>
              <w:t>（2）远程配置：支持采集协议驱动管理，支持新增通讯协议，提供协议驱动可扩展接口。支持定义多个数据推送接口，支持远程更新网关采集配置和同步采集点表，支持网关远程控制（网关重启、开关VPN），支持命令调试。支持通过网关下发控制指令，支持为网关添加接入的设备，配置设备的PLC协议和采集点表。</w:t>
            </w:r>
          </w:p>
          <w:p w14:paraId="1CD0C76B">
            <w:pPr>
              <w:rPr>
                <w:rFonts w:ascii="仿宋" w:hAnsi="仿宋" w:cs="仿宋"/>
                <w:sz w:val="21"/>
              </w:rPr>
            </w:pPr>
            <w:r>
              <w:rPr>
                <w:rFonts w:hint="eastAsia" w:ascii="仿宋" w:hAnsi="仿宋" w:cs="仿宋"/>
                <w:sz w:val="21"/>
              </w:rPr>
              <w:t>3、模型管理</w:t>
            </w:r>
          </w:p>
          <w:p w14:paraId="3A02DFCB">
            <w:pPr>
              <w:widowControl w:val="0"/>
              <w:numPr>
                <w:ilvl w:val="0"/>
                <w:numId w:val="2"/>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支持定义设备资产模型和逻辑资产模型，支持模型上台账信息、属性、命令和服务的定义，模型支持继承，父模型的更新会自动传播到子模型。</w:t>
            </w:r>
          </w:p>
          <w:p w14:paraId="550DF2FD">
            <w:pPr>
              <w:widowControl w:val="0"/>
              <w:numPr>
                <w:ilvl w:val="0"/>
                <w:numId w:val="2"/>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模型台账支持引用标准台账库和自定义2中方式定义台账信息，标准台账库支持不少于30个台账信息。自定义台账数据类型支持字符型、日期型、日期时间型、整数型、小数型、布尔型、图片和文件。</w:t>
            </w:r>
          </w:p>
          <w:p w14:paraId="3EC582F9">
            <w:pPr>
              <w:widowControl w:val="0"/>
              <w:numPr>
                <w:ilvl w:val="0"/>
                <w:numId w:val="3"/>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设备管理</w:t>
            </w:r>
          </w:p>
          <w:p w14:paraId="73B5D9DF">
            <w:pPr>
              <w:widowControl w:val="0"/>
              <w:numPr>
                <w:ilvl w:val="0"/>
                <w:numId w:val="4"/>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color w:val="404040"/>
                <w:sz w:val="21"/>
                <w:shd w:val="clear" w:color="auto" w:fill="FFFFFF"/>
              </w:rPr>
              <w:t>设备资产支持根据设备模型快速批量创建设备，</w:t>
            </w:r>
            <w:r>
              <w:rPr>
                <w:rFonts w:hint="eastAsia" w:ascii="仿宋" w:hAnsi="仿宋" w:cs="仿宋"/>
                <w:sz w:val="21"/>
              </w:rPr>
              <w:t>设备资产/逻辑资产继承模型定义的台账信息，属性、命令和服务，并支持在设备资产/逻辑资产上添加台账信息，属性、命令和服务，模型的更新自动传播到设备资产/逻辑资产。</w:t>
            </w:r>
          </w:p>
          <w:p w14:paraId="09C5FE3C">
            <w:pPr>
              <w:widowControl w:val="0"/>
              <w:numPr>
                <w:ilvl w:val="0"/>
                <w:numId w:val="4"/>
              </w:numPr>
              <w:shd w:val="clear" w:color="auto" w:fill="auto"/>
              <w:kinsoku/>
              <w:autoSpaceDE/>
              <w:autoSpaceDN/>
              <w:adjustRightInd/>
              <w:spacing w:before="60" w:after="60" w:line="240" w:lineRule="auto"/>
              <w:jc w:val="both"/>
              <w:textAlignment w:val="auto"/>
              <w:rPr>
                <w:rFonts w:ascii="仿宋" w:hAnsi="仿宋" w:cs="仿宋"/>
                <w:color w:val="404040"/>
                <w:sz w:val="21"/>
                <w:shd w:val="clear" w:color="auto" w:fill="FFFFFF"/>
              </w:rPr>
            </w:pPr>
            <w:r>
              <w:rPr>
                <w:rFonts w:hint="eastAsia" w:ascii="仿宋" w:hAnsi="仿宋" w:cs="仿宋"/>
                <w:sz w:val="21"/>
              </w:rPr>
              <w:t>设备资产命令支持在线下发控制指令、查看下发指令报文和历史下发控制指令记录。</w:t>
            </w:r>
          </w:p>
          <w:p w14:paraId="168D734E">
            <w:pPr>
              <w:rPr>
                <w:rFonts w:ascii="仿宋" w:hAnsi="仿宋" w:cs="仿宋"/>
                <w:sz w:val="21"/>
              </w:rPr>
            </w:pPr>
            <w:r>
              <w:rPr>
                <w:rFonts w:hint="eastAsia" w:ascii="仿宋" w:hAnsi="仿宋" w:cs="仿宋"/>
                <w:sz w:val="21"/>
              </w:rPr>
              <w:t>5、 计算分析</w:t>
            </w:r>
          </w:p>
          <w:p w14:paraId="76BF6498">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支持在画布中拖拽组件构建计算公式，支持设置公式的计算周期。</w:t>
            </w:r>
          </w:p>
          <w:p w14:paraId="7E187E84">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▲支持常用的公式算子：加减乘除，布尔计算，类型转换，函数计算（基于滑动窗口和实时计算，包括求和、平均、 数值幅度、数值变化率）。</w:t>
            </w:r>
          </w:p>
          <w:p w14:paraId="6F3175EF">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sz w:val="21"/>
              </w:rPr>
              <w:t>提供基于模型、设备的系统服务，支持自定义基于Groovy引擎的脚本服务。</w:t>
            </w:r>
          </w:p>
          <w:p w14:paraId="686EC47A">
            <w:pPr>
              <w:widowControl w:val="0"/>
              <w:numPr>
                <w:ilvl w:val="0"/>
                <w:numId w:val="5"/>
              </w:numPr>
              <w:shd w:val="clear" w:color="auto" w:fill="auto"/>
              <w:kinsoku/>
              <w:autoSpaceDE/>
              <w:autoSpaceDN/>
              <w:adjustRightInd/>
              <w:spacing w:before="60" w:after="60" w:line="312" w:lineRule="auto"/>
              <w:textAlignment w:val="auto"/>
              <w:rPr>
                <w:rFonts w:ascii="仿宋" w:hAnsi="仿宋" w:cs="仿宋"/>
                <w:sz w:val="21"/>
              </w:rPr>
            </w:pPr>
            <w:r>
              <w:rPr>
                <w:rFonts w:ascii="仿宋" w:hAnsi="仿宋" w:cs="仿宋"/>
                <w:sz w:val="21"/>
              </w:rPr>
              <w:t>服务提供相应的示例</w:t>
            </w:r>
            <w:r>
              <w:rPr>
                <w:rFonts w:hint="eastAsia" w:ascii="仿宋" w:hAnsi="仿宋" w:cs="仿宋"/>
                <w:sz w:val="21"/>
              </w:rPr>
              <w:t>，支持在线调试服务。</w:t>
            </w:r>
          </w:p>
          <w:p w14:paraId="16ED90DB">
            <w:pPr>
              <w:rPr>
                <w:rFonts w:ascii="仿宋" w:hAnsi="仿宋" w:cs="仿宋"/>
                <w:sz w:val="21"/>
              </w:rPr>
            </w:pPr>
            <w:r>
              <w:rPr>
                <w:rFonts w:hint="eastAsia" w:ascii="仿宋" w:hAnsi="仿宋" w:cs="仿宋"/>
                <w:sz w:val="21"/>
              </w:rPr>
              <w:t>6、 规则引擎</w:t>
            </w:r>
          </w:p>
          <w:p w14:paraId="697BE836">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支持基于模型及设备资产/逻辑资产创建规则，基于模型创建的规则应用于所有使用该模型创建的资产。</w:t>
            </w:r>
          </w:p>
          <w:p w14:paraId="1A2D3A53">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支持实时和定时的规则触发，定时支持固定间隔、每日一次、每周一次及每月一次设定。</w:t>
            </w:r>
          </w:p>
          <w:p w14:paraId="03D254F1">
            <w:pPr>
              <w:widowControl w:val="0"/>
              <w:numPr>
                <w:ilvl w:val="0"/>
                <w:numId w:val="6"/>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支持查看、启用和禁用设备资产/逻辑资产关联的所有规则，支持规则的批量启用和禁用。</w:t>
            </w:r>
          </w:p>
          <w:p w14:paraId="2714212C">
            <w:pPr>
              <w:rPr>
                <w:rFonts w:ascii="仿宋" w:hAnsi="仿宋" w:cs="仿宋"/>
                <w:sz w:val="21"/>
              </w:rPr>
            </w:pPr>
            <w:r>
              <w:rPr>
                <w:rFonts w:hint="eastAsia" w:ascii="仿宋" w:hAnsi="仿宋" w:cs="仿宋"/>
                <w:sz w:val="21"/>
              </w:rPr>
              <w:t>7、报警管理</w:t>
            </w:r>
          </w:p>
          <w:p w14:paraId="3B334A3D">
            <w:pPr>
              <w:widowControl w:val="0"/>
              <w:numPr>
                <w:ilvl w:val="0"/>
                <w:numId w:val="7"/>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支持按照资产树、设备分类、时间范围、报警名称等维度过滤报警列表，支持自定义报警级别、报警类型，报警触发后，支持报警批量的认领、挂起操作，支持报警自动恢复。</w:t>
            </w:r>
          </w:p>
          <w:p w14:paraId="04D92FE6">
            <w:pPr>
              <w:widowControl w:val="0"/>
              <w:numPr>
                <w:ilvl w:val="0"/>
                <w:numId w:val="7"/>
              </w:numPr>
              <w:shd w:val="clear" w:color="auto" w:fill="auto"/>
              <w:kinsoku/>
              <w:autoSpaceDE/>
              <w:autoSpaceDN/>
              <w:adjustRightInd/>
              <w:spacing w:before="60" w:after="60" w:line="240" w:lineRule="auto"/>
              <w:jc w:val="both"/>
              <w:textAlignment w:val="auto"/>
              <w:rPr>
                <w:rFonts w:ascii="仿宋" w:hAnsi="仿宋" w:cs="仿宋"/>
                <w:sz w:val="21"/>
              </w:rPr>
            </w:pPr>
            <w:r>
              <w:rPr>
                <w:rFonts w:hint="eastAsia" w:ascii="仿宋" w:hAnsi="仿宋" w:cs="仿宋"/>
                <w:sz w:val="21"/>
              </w:rPr>
              <w:t>报警详情支持查看ID、所属资产、发生时间、报警级别、报警类型、属性、触发值、报警名称、更新时间、报警状态、操作状态、报警内容和恢复时间。</w:t>
            </w:r>
          </w:p>
          <w:p w14:paraId="06407233">
            <w:pPr>
              <w:rPr>
                <w:rFonts w:ascii="仿宋" w:hAnsi="仿宋" w:cs="仿宋"/>
                <w:sz w:val="21"/>
              </w:rPr>
            </w:pPr>
            <w:r>
              <w:rPr>
                <w:rFonts w:hint="eastAsia" w:ascii="仿宋" w:hAnsi="仿宋" w:cs="仿宋"/>
                <w:sz w:val="21"/>
              </w:rPr>
              <w:t>8、任务调度</w:t>
            </w:r>
          </w:p>
          <w:p w14:paraId="11F7816C">
            <w:pPr>
              <w:rPr>
                <w:rFonts w:ascii="仿宋" w:hAnsi="仿宋" w:cs="仿宋"/>
                <w:sz w:val="21"/>
              </w:rPr>
            </w:pPr>
            <w:r>
              <w:rPr>
                <w:rFonts w:hint="eastAsia" w:ascii="仿宋" w:hAnsi="仿宋" w:cs="仿宋"/>
                <w:sz w:val="21"/>
              </w:rPr>
              <w:t>支持定时任务在线调试、复制、查看、编辑、启用/禁用操作，支持定时任务调度日志的查看，包括任务名称、调度时间、调度结果、执行时间和调度详情查看。</w:t>
            </w:r>
          </w:p>
          <w:p w14:paraId="37EBC987">
            <w:pPr>
              <w:rPr>
                <w:rFonts w:ascii="仿宋" w:hAnsi="仿宋" w:cs="仿宋"/>
                <w:sz w:val="21"/>
              </w:rPr>
            </w:pPr>
            <w:r>
              <w:rPr>
                <w:rFonts w:hint="eastAsia" w:ascii="仿宋" w:hAnsi="仿宋" w:cs="仿宋"/>
                <w:sz w:val="21"/>
              </w:rPr>
              <w:t>9、设备监控</w:t>
            </w:r>
          </w:p>
          <w:p w14:paraId="69546F62">
            <w:pPr>
              <w:spacing w:line="240" w:lineRule="auto"/>
              <w:jc w:val="both"/>
              <w:rPr>
                <w:rFonts w:ascii="仿宋" w:hAnsi="仿宋" w:cs="仿宋"/>
                <w:sz w:val="21"/>
              </w:rPr>
            </w:pPr>
            <w:r>
              <w:rPr>
                <w:rFonts w:hint="eastAsia" w:ascii="仿宋" w:hAnsi="仿宋" w:cs="仿宋"/>
                <w:sz w:val="21"/>
              </w:rPr>
              <w:t>提供基于资产树的资产监控，信息包含基本信息、运行状态、可视化场景、报警故障、维修记录和 保养记录。</w:t>
            </w:r>
          </w:p>
          <w:p w14:paraId="1174DB94">
            <w:pPr>
              <w:rPr>
                <w:rFonts w:ascii="仿宋" w:hAnsi="仿宋" w:cs="仿宋"/>
                <w:sz w:val="21"/>
              </w:rPr>
            </w:pPr>
            <w:r>
              <w:rPr>
                <w:rFonts w:hint="eastAsia" w:ascii="仿宋" w:hAnsi="仿宋" w:cs="仿宋"/>
                <w:sz w:val="21"/>
              </w:rPr>
              <w:t>10、可视化开发</w:t>
            </w:r>
          </w:p>
          <w:p w14:paraId="2D9045A4">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图元</w:t>
            </w:r>
          </w:p>
          <w:p w14:paraId="4F068010">
            <w:pPr>
              <w:widowControl w:val="0"/>
              <w:numPr>
                <w:ilvl w:val="0"/>
                <w:numId w:val="9"/>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提供丰富的图表、组态、表单、文本等类型组件，包括仪表、视频、地图、页面、时序、图表、组态、装饰等类型。</w:t>
            </w:r>
          </w:p>
          <w:p w14:paraId="54172D0F">
            <w:pPr>
              <w:widowControl w:val="0"/>
              <w:numPr>
                <w:ilvl w:val="0"/>
                <w:numId w:val="9"/>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支持自定义开发可视化组件。</w:t>
            </w:r>
          </w:p>
          <w:p w14:paraId="631C13AB">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事件</w:t>
            </w:r>
          </w:p>
          <w:p w14:paraId="0552F895">
            <w:pPr>
              <w:widowControl w:val="0"/>
              <w:numPr>
                <w:ilvl w:val="0"/>
                <w:numId w:val="10"/>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支持通过拖拽和配置组件搭建应用页面，并绑定组件到已获取的数据，实现所见即所得的低代码页面开发。</w:t>
            </w:r>
          </w:p>
          <w:p w14:paraId="07CCCECF">
            <w:pPr>
              <w:widowControl w:val="0"/>
              <w:numPr>
                <w:ilvl w:val="0"/>
                <w:numId w:val="10"/>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支持自定义用户交互动作，实现数据联动。</w:t>
            </w:r>
          </w:p>
          <w:p w14:paraId="7BDF0B2F">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数据源</w:t>
            </w:r>
          </w:p>
          <w:p w14:paraId="5C3FAFD2">
            <w:pPr>
              <w:widowControl w:val="0"/>
              <w:numPr>
                <w:ilvl w:val="0"/>
                <w:numId w:val="11"/>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数据服务支持设备资产服务调用，支持服务入参设置，支持服务更新时间间隔设置。</w:t>
            </w:r>
          </w:p>
          <w:p w14:paraId="1693EF96">
            <w:pPr>
              <w:widowControl w:val="0"/>
              <w:numPr>
                <w:ilvl w:val="0"/>
                <w:numId w:val="11"/>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静态数据支持CSV、JSON格式数据，支持文件上传。</w:t>
            </w:r>
          </w:p>
          <w:p w14:paraId="4C747B6B">
            <w:pPr>
              <w:widowControl w:val="0"/>
              <w:numPr>
                <w:ilvl w:val="0"/>
                <w:numId w:val="8"/>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页面分享</w:t>
            </w:r>
          </w:p>
          <w:p w14:paraId="62E3431C">
            <w:pPr>
              <w:widowControl w:val="0"/>
              <w:numPr>
                <w:ilvl w:val="0"/>
                <w:numId w:val="12"/>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支持导入单画面文件和完整压缩包。</w:t>
            </w:r>
          </w:p>
          <w:p w14:paraId="314193CE">
            <w:pPr>
              <w:widowControl w:val="0"/>
              <w:numPr>
                <w:ilvl w:val="0"/>
                <w:numId w:val="12"/>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支持在线预览页面效果。</w:t>
            </w:r>
          </w:p>
          <w:p w14:paraId="61C99569">
            <w:pPr>
              <w:rPr>
                <w:rFonts w:ascii="仿宋" w:hAnsi="仿宋" w:cs="仿宋"/>
                <w:sz w:val="21"/>
              </w:rPr>
            </w:pPr>
            <w:r>
              <w:rPr>
                <w:rFonts w:hint="eastAsia" w:ascii="仿宋" w:hAnsi="仿宋" w:cs="仿宋"/>
                <w:sz w:val="21"/>
              </w:rPr>
              <w:t>11、系统管理</w:t>
            </w:r>
          </w:p>
          <w:p w14:paraId="04754151">
            <w:pPr>
              <w:widowControl w:val="0"/>
              <w:numPr>
                <w:ilvl w:val="0"/>
                <w:numId w:val="13"/>
              </w:numPr>
              <w:shd w:val="clear" w:color="auto" w:fill="auto"/>
              <w:kinsoku/>
              <w:autoSpaceDE/>
              <w:autoSpaceDN/>
              <w:adjustRightInd/>
              <w:spacing w:before="60" w:after="60" w:line="312" w:lineRule="auto"/>
              <w:textAlignment w:val="auto"/>
              <w:rPr>
                <w:rFonts w:ascii="仿宋" w:hAnsi="仿宋" w:cs="仿宋"/>
                <w:sz w:val="21"/>
              </w:rPr>
            </w:pPr>
            <w:r>
              <w:rPr>
                <w:rFonts w:hint="eastAsia" w:ascii="仿宋" w:hAnsi="仿宋" w:cs="仿宋"/>
                <w:sz w:val="21"/>
              </w:rPr>
              <w:t>支持组织管理，包括岗位管理、部门管理、用户管理、角色管理、租户管理和菜单管理。</w:t>
            </w:r>
          </w:p>
          <w:p w14:paraId="14E4C263">
            <w:pPr>
              <w:widowControl w:val="0"/>
              <w:numPr>
                <w:ilvl w:val="0"/>
                <w:numId w:val="13"/>
              </w:numPr>
              <w:shd w:val="clear" w:color="auto" w:fill="auto"/>
              <w:kinsoku/>
              <w:autoSpaceDE/>
              <w:autoSpaceDN/>
              <w:adjustRightInd/>
              <w:spacing w:before="60" w:after="60" w:line="312" w:lineRule="auto"/>
              <w:textAlignment w:val="auto"/>
              <w:rPr>
                <w:rFonts w:ascii="仿宋_GB2312" w:hAnsi="仿宋_GB2312" w:eastAsia="仿宋_GB2312" w:cs="仿宋_GB2312"/>
                <w:color w:val="auto"/>
                <w:sz w:val="24"/>
                <w:szCs w:val="24"/>
              </w:rPr>
            </w:pPr>
            <w:r>
              <w:rPr>
                <w:rFonts w:hint="eastAsia" w:ascii="仿宋" w:hAnsi="仿宋" w:cs="仿宋"/>
                <w:sz w:val="21"/>
              </w:rPr>
              <w:t>支持系统监控，实现系统运行状态监测，可查看平台所有网络组件断连的异常信息。</w:t>
            </w:r>
          </w:p>
        </w:tc>
      </w:tr>
    </w:tbl>
    <w:p w14:paraId="16E596A9">
      <w:pPr>
        <w:pStyle w:val="2"/>
        <w:snapToGrid/>
        <w:spacing w:before="450" w:line="185" w:lineRule="auto"/>
        <w:rPr>
          <w:rFonts w:hint="eastAsia"/>
          <w:color w:val="auto"/>
        </w:rPr>
      </w:pPr>
      <w:bookmarkStart w:id="23" w:name="_Toc659372190"/>
      <w:r>
        <w:rPr>
          <w:rFonts w:ascii="黑体" w:hAnsi="黑体" w:eastAsia="黑体" w:cs="黑体"/>
          <w:color w:val="auto"/>
          <w:sz w:val="30"/>
        </w:rPr>
        <w:t>十一、大赛安全保障</w:t>
      </w:r>
      <w:bookmarkEnd w:id="23"/>
    </w:p>
    <w:p w14:paraId="0205F6F6">
      <w:pPr>
        <w:pStyle w:val="3"/>
        <w:snapToGrid/>
        <w:spacing w:before="447" w:line="192" w:lineRule="auto"/>
        <w:ind w:firstLine="607"/>
        <w:rPr>
          <w:rFonts w:hint="eastAsia"/>
          <w:color w:val="auto"/>
        </w:rPr>
      </w:pPr>
      <w:bookmarkStart w:id="24" w:name="_Toc1052778810"/>
      <w:r>
        <w:rPr>
          <w:rFonts w:ascii="楷体" w:hAnsi="楷体" w:eastAsia="楷体" w:cs="楷体"/>
          <w:color w:val="auto"/>
          <w:sz w:val="30"/>
        </w:rPr>
        <w:t>（一）比赛环境</w:t>
      </w:r>
      <w:bookmarkEnd w:id="24"/>
    </w:p>
    <w:p w14:paraId="230BB2AC">
      <w:pPr>
        <w:snapToGrid/>
        <w:spacing w:before="272" w:line="360" w:lineRule="auto"/>
        <w:ind w:left="6" w:right="85" w:firstLine="561"/>
        <w:jc w:val="both"/>
        <w:rPr>
          <w:color w:val="auto"/>
        </w:rPr>
      </w:pPr>
      <w:r>
        <w:rPr>
          <w:rFonts w:ascii="仿宋_GB2312" w:hAnsi="仿宋_GB2312" w:eastAsia="仿宋_GB2312" w:cs="仿宋_GB2312"/>
          <w:color w:val="auto"/>
          <w:spacing w:val="-3"/>
        </w:rPr>
        <w:t>须在赛前组织专人对比赛现场、住宿场所和交通保障进行考察，并对安全工作提出明确要求。赛场布置，赛场内器材、设备，应符合国家有关安全规定，承办院校赛前须按照要求排除安全隐患。</w:t>
      </w:r>
    </w:p>
    <w:p w14:paraId="6BBB6D07">
      <w:pPr>
        <w:snapToGrid/>
        <w:spacing w:before="272" w:line="360" w:lineRule="auto"/>
        <w:ind w:left="6" w:right="85" w:firstLine="561"/>
        <w:jc w:val="both"/>
        <w:rPr>
          <w:color w:val="auto"/>
        </w:rPr>
      </w:pPr>
      <w:r>
        <w:rPr>
          <w:rFonts w:ascii="仿宋_GB2312" w:hAnsi="仿宋_GB2312" w:eastAsia="仿宋_GB2312" w:cs="仿宋_GB2312"/>
          <w:color w:val="auto"/>
          <w:spacing w:val="-3"/>
        </w:rPr>
        <w:t>赛场周围设立警戒线，要求所有参赛人员必须凭有效证件进入场地，防止无关人员进入发生意外事件。</w:t>
      </w:r>
    </w:p>
    <w:p w14:paraId="5CC71636">
      <w:pPr>
        <w:pStyle w:val="3"/>
        <w:snapToGrid/>
        <w:spacing w:before="447" w:line="192" w:lineRule="auto"/>
        <w:ind w:firstLine="607"/>
        <w:rPr>
          <w:rFonts w:hint="eastAsia"/>
          <w:color w:val="auto"/>
        </w:rPr>
      </w:pPr>
      <w:bookmarkStart w:id="25" w:name="_Toc935692037"/>
      <w:r>
        <w:rPr>
          <w:rFonts w:ascii="楷体" w:hAnsi="楷体" w:eastAsia="楷体" w:cs="楷体"/>
          <w:color w:val="auto"/>
          <w:sz w:val="30"/>
        </w:rPr>
        <w:t>（二）生活条件</w:t>
      </w:r>
      <w:bookmarkEnd w:id="25"/>
    </w:p>
    <w:p w14:paraId="106DE619">
      <w:pPr>
        <w:snapToGrid/>
        <w:spacing w:before="272" w:line="360" w:lineRule="auto"/>
        <w:ind w:left="6" w:right="85" w:firstLine="561"/>
        <w:jc w:val="both"/>
        <w:rPr>
          <w:color w:val="auto"/>
        </w:rPr>
      </w:pPr>
      <w:r>
        <w:rPr>
          <w:rFonts w:ascii="仿宋_GB2312" w:hAnsi="仿宋_GB2312" w:eastAsia="仿宋_GB2312" w:cs="仿宋_GB2312"/>
          <w:color w:val="auto"/>
          <w:spacing w:val="-3"/>
        </w:rPr>
        <w:t>比赛期间，原则上由赛项承办院校统一安排参赛选手食宿，并确保大赛期间人员的住宿、卫生、饮食安全等。</w:t>
      </w:r>
    </w:p>
    <w:p w14:paraId="6135A3C5">
      <w:pPr>
        <w:snapToGrid/>
        <w:spacing w:before="272" w:line="360" w:lineRule="auto"/>
        <w:ind w:left="6" w:right="85" w:firstLine="561"/>
        <w:jc w:val="both"/>
        <w:rPr>
          <w:color w:val="auto"/>
        </w:rPr>
      </w:pPr>
      <w:r>
        <w:rPr>
          <w:rFonts w:ascii="仿宋_GB2312" w:hAnsi="仿宋_GB2312" w:eastAsia="仿宋_GB2312" w:cs="仿宋_GB2312"/>
          <w:color w:val="auto"/>
          <w:spacing w:val="-3"/>
        </w:rPr>
        <w:t>赛项执委会和承办院校须保证比赛期间选手、领队和裁判员、工作人员的交通安全。</w:t>
      </w:r>
    </w:p>
    <w:p w14:paraId="41375C95">
      <w:pPr>
        <w:pStyle w:val="3"/>
        <w:snapToGrid/>
        <w:spacing w:before="447" w:line="192" w:lineRule="auto"/>
        <w:ind w:firstLine="607"/>
        <w:rPr>
          <w:rFonts w:hint="eastAsia"/>
          <w:color w:val="auto"/>
        </w:rPr>
      </w:pPr>
      <w:bookmarkStart w:id="26" w:name="_Toc153318878"/>
      <w:r>
        <w:rPr>
          <w:rFonts w:ascii="楷体" w:hAnsi="楷体" w:eastAsia="楷体" w:cs="楷体"/>
          <w:color w:val="auto"/>
          <w:sz w:val="30"/>
        </w:rPr>
        <w:t>（三）组队责任安全</w:t>
      </w:r>
      <w:bookmarkEnd w:id="26"/>
    </w:p>
    <w:p w14:paraId="355B809D">
      <w:pPr>
        <w:snapToGrid/>
        <w:spacing w:before="272" w:line="360" w:lineRule="auto"/>
        <w:ind w:left="6" w:right="85" w:firstLine="561"/>
        <w:jc w:val="both"/>
        <w:rPr>
          <w:color w:val="auto"/>
        </w:rPr>
      </w:pPr>
      <w:r>
        <w:rPr>
          <w:rFonts w:ascii="仿宋_GB2312" w:hAnsi="仿宋_GB2312" w:eastAsia="仿宋_GB2312" w:cs="仿宋_GB2312"/>
          <w:color w:val="auto"/>
          <w:spacing w:val="-3"/>
        </w:rPr>
        <w:t>各学校组织代表队时，须安排为参赛选手购买大赛期间的人身意外伤害保险，并进行安全教育。</w:t>
      </w:r>
    </w:p>
    <w:p w14:paraId="12ECFDED">
      <w:pPr>
        <w:pStyle w:val="3"/>
        <w:snapToGrid/>
        <w:spacing w:before="447" w:line="192" w:lineRule="auto"/>
        <w:ind w:firstLine="607"/>
        <w:rPr>
          <w:rFonts w:hint="eastAsia"/>
          <w:color w:val="auto"/>
        </w:rPr>
      </w:pPr>
      <w:bookmarkStart w:id="27" w:name="_Toc1997489793"/>
      <w:r>
        <w:rPr>
          <w:rFonts w:ascii="楷体" w:hAnsi="楷体" w:eastAsia="楷体" w:cs="楷体"/>
          <w:color w:val="auto"/>
          <w:sz w:val="30"/>
        </w:rPr>
        <w:t>（四）应急处理安全</w:t>
      </w:r>
      <w:bookmarkEnd w:id="27"/>
    </w:p>
    <w:p w14:paraId="418567FA">
      <w:pPr>
        <w:snapToGrid/>
        <w:spacing w:before="272" w:line="360" w:lineRule="auto"/>
        <w:ind w:left="6" w:right="85" w:firstLine="561"/>
        <w:jc w:val="both"/>
        <w:rPr>
          <w:color w:val="auto"/>
        </w:rPr>
      </w:pPr>
      <w:r>
        <w:rPr>
          <w:rFonts w:ascii="仿宋_GB2312" w:hAnsi="仿宋_GB2312" w:eastAsia="仿宋_GB2312" w:cs="仿宋_GB2312"/>
          <w:color w:val="auto"/>
          <w:spacing w:val="-3"/>
        </w:rPr>
        <w:t>比赛期间发生意外事故时，发现者应在第一时间报告赛项执委会，同时采取措施，避免事态扩大。赛项执委会应立即启动预案予以解决并向赛区执委会报告。出现重大安全问题的赛项可以停赛，是否停赛由赛区组委会决定。事后，赛区执委会应向大赛执委会报告详细情况。</w:t>
      </w:r>
    </w:p>
    <w:p w14:paraId="3C5BA047">
      <w:pPr>
        <w:pStyle w:val="3"/>
        <w:snapToGrid/>
        <w:spacing w:before="447" w:line="192" w:lineRule="auto"/>
        <w:ind w:firstLine="607"/>
        <w:rPr>
          <w:rFonts w:hint="eastAsia"/>
          <w:color w:val="auto"/>
        </w:rPr>
      </w:pPr>
      <w:bookmarkStart w:id="28" w:name="_Toc199097400"/>
      <w:r>
        <w:rPr>
          <w:rFonts w:ascii="楷体" w:hAnsi="楷体" w:eastAsia="楷体" w:cs="楷体"/>
          <w:color w:val="auto"/>
          <w:sz w:val="30"/>
        </w:rPr>
        <w:t>（五）处罚措施</w:t>
      </w:r>
      <w:bookmarkEnd w:id="28"/>
    </w:p>
    <w:p w14:paraId="480838CB">
      <w:pPr>
        <w:snapToGrid/>
        <w:spacing w:before="272" w:line="360" w:lineRule="auto"/>
        <w:ind w:left="6" w:right="85" w:firstLine="561"/>
        <w:jc w:val="both"/>
        <w:rPr>
          <w:color w:val="auto"/>
        </w:rPr>
      </w:pPr>
      <w:r>
        <w:rPr>
          <w:rFonts w:ascii="仿宋_GB2312" w:hAnsi="仿宋_GB2312" w:eastAsia="仿宋_GB2312" w:cs="仿宋_GB2312"/>
          <w:color w:val="auto"/>
          <w:spacing w:val="-3"/>
        </w:rPr>
        <w:t>因参赛队伍原因造成重大安全事故的，取消其获奖资格。</w:t>
      </w:r>
    </w:p>
    <w:p w14:paraId="15C3DA16">
      <w:pPr>
        <w:snapToGrid/>
        <w:spacing w:before="272" w:line="360" w:lineRule="auto"/>
        <w:ind w:left="6" w:right="85" w:firstLine="561"/>
        <w:jc w:val="both"/>
        <w:rPr>
          <w:color w:val="auto"/>
        </w:rPr>
      </w:pPr>
      <w:r>
        <w:rPr>
          <w:rFonts w:ascii="仿宋_GB2312" w:hAnsi="仿宋_GB2312" w:eastAsia="仿宋_GB2312" w:cs="仿宋_GB2312"/>
          <w:color w:val="auto"/>
          <w:spacing w:val="-3"/>
        </w:rPr>
        <w:t>赛事工作人员违规的，按照相应的制度追究责任。</w:t>
      </w:r>
    </w:p>
    <w:p w14:paraId="1DF9261C">
      <w:pPr>
        <w:pStyle w:val="2"/>
        <w:snapToGrid/>
        <w:spacing w:before="450" w:line="185" w:lineRule="auto"/>
        <w:rPr>
          <w:rFonts w:hint="eastAsia"/>
          <w:color w:val="auto"/>
        </w:rPr>
      </w:pPr>
      <w:bookmarkStart w:id="29" w:name="_Toc450479774"/>
      <w:r>
        <w:rPr>
          <w:rFonts w:ascii="黑体" w:hAnsi="黑体" w:eastAsia="黑体" w:cs="黑体"/>
          <w:color w:val="auto"/>
          <w:sz w:val="30"/>
        </w:rPr>
        <w:t>十二、大赛组织与管理</w:t>
      </w:r>
      <w:bookmarkEnd w:id="29"/>
    </w:p>
    <w:p w14:paraId="428CE351">
      <w:pPr>
        <w:pStyle w:val="3"/>
        <w:snapToGrid/>
        <w:spacing w:before="447" w:line="192" w:lineRule="auto"/>
        <w:ind w:firstLine="607"/>
        <w:rPr>
          <w:rFonts w:hint="eastAsia"/>
          <w:color w:val="auto"/>
        </w:rPr>
      </w:pPr>
      <w:bookmarkStart w:id="30" w:name="_Toc1333705943"/>
      <w:r>
        <w:rPr>
          <w:rFonts w:ascii="楷体" w:hAnsi="楷体" w:eastAsia="楷体" w:cs="楷体"/>
          <w:color w:val="auto"/>
          <w:sz w:val="30"/>
        </w:rPr>
        <w:t>（一）大赛组织</w:t>
      </w:r>
      <w:bookmarkEnd w:id="30"/>
    </w:p>
    <w:p w14:paraId="4DA67894">
      <w:pPr>
        <w:snapToGrid/>
        <w:spacing w:before="272" w:line="367" w:lineRule="auto"/>
        <w:ind w:left="4" w:right="86" w:firstLine="560"/>
        <w:jc w:val="both"/>
        <w:rPr>
          <w:color w:val="auto"/>
        </w:rPr>
      </w:pPr>
      <w:r>
        <w:rPr>
          <w:rFonts w:ascii="仿宋_GB2312" w:hAnsi="仿宋_GB2312" w:eastAsia="仿宋_GB2312" w:cs="仿宋_GB2312"/>
          <w:color w:val="auto"/>
          <w:spacing w:val="-3"/>
          <w:sz w:val="30"/>
        </w:rPr>
        <w:t>1.大赛裁判</w:t>
      </w:r>
    </w:p>
    <w:p w14:paraId="17974043">
      <w:pPr>
        <w:snapToGrid/>
        <w:spacing w:before="272" w:line="360" w:lineRule="auto"/>
        <w:ind w:left="6" w:right="85" w:firstLine="561"/>
        <w:jc w:val="both"/>
        <w:rPr>
          <w:color w:val="auto"/>
        </w:rPr>
      </w:pPr>
      <w:r>
        <w:rPr>
          <w:rFonts w:ascii="仿宋_GB2312" w:hAnsi="仿宋_GB2312" w:eastAsia="仿宋_GB2312" w:cs="仿宋_GB2312"/>
          <w:color w:val="auto"/>
          <w:spacing w:val="-3"/>
        </w:rPr>
        <w:t>（1）裁判人员具有良好的职业道德和心理素质，严守竞赛纪律，服从组织安排，责任心强；</w:t>
      </w:r>
    </w:p>
    <w:p w14:paraId="6F4476E0">
      <w:pPr>
        <w:snapToGrid/>
        <w:spacing w:before="272" w:line="360" w:lineRule="auto"/>
        <w:ind w:left="6" w:right="85" w:firstLine="561"/>
        <w:jc w:val="both"/>
        <w:rPr>
          <w:color w:val="auto"/>
        </w:rPr>
      </w:pPr>
      <w:r>
        <w:rPr>
          <w:rFonts w:ascii="仿宋_GB2312" w:hAnsi="仿宋_GB2312" w:eastAsia="仿宋_GB2312" w:cs="仿宋_GB2312"/>
          <w:color w:val="auto"/>
          <w:spacing w:val="-3"/>
        </w:rPr>
        <w:t>（2）评分裁判须从事计算机专业（职业）相关工作2年以上（含2年），具备深厚的专业理论知识和较高的实践技能水平，具有省级或行业职业技能竞赛执裁经验；</w:t>
      </w:r>
    </w:p>
    <w:p w14:paraId="520F82F7">
      <w:pPr>
        <w:snapToGrid/>
        <w:spacing w:before="272" w:line="360" w:lineRule="auto"/>
        <w:ind w:left="6" w:right="85" w:firstLine="561"/>
        <w:jc w:val="both"/>
        <w:rPr>
          <w:color w:val="auto"/>
        </w:rPr>
      </w:pPr>
      <w:r>
        <w:rPr>
          <w:rFonts w:ascii="仿宋_GB2312" w:hAnsi="仿宋_GB2312" w:eastAsia="仿宋_GB2312" w:cs="仿宋_GB2312"/>
          <w:color w:val="auto"/>
          <w:spacing w:val="-3"/>
        </w:rPr>
        <w:t>（3）裁判人员有较强的组织协调能力和临场应变能力；</w:t>
      </w:r>
    </w:p>
    <w:p w14:paraId="586A26DE">
      <w:pPr>
        <w:snapToGrid/>
        <w:spacing w:before="272" w:line="360" w:lineRule="auto"/>
        <w:ind w:left="6" w:right="85" w:firstLine="561"/>
        <w:jc w:val="both"/>
        <w:rPr>
          <w:color w:val="auto"/>
        </w:rPr>
      </w:pPr>
      <w:r>
        <w:rPr>
          <w:rFonts w:ascii="仿宋_GB2312" w:hAnsi="仿宋_GB2312" w:eastAsia="仿宋_GB2312" w:cs="仿宋_GB2312"/>
          <w:color w:val="auto"/>
          <w:spacing w:val="-3"/>
        </w:rPr>
        <w:t>（4）裁判人员年龄原则上不超过60周岁，身体健康，无任何违法违纪记录， 且获得工作单位支持，能在规定时间内到岗，并按要求完成指定裁判工作。</w:t>
      </w:r>
    </w:p>
    <w:p w14:paraId="0C3244F5">
      <w:pPr>
        <w:snapToGrid/>
        <w:spacing w:before="272" w:line="360" w:lineRule="auto"/>
        <w:ind w:left="6" w:right="85" w:firstLine="561"/>
        <w:jc w:val="both"/>
        <w:rPr>
          <w:color w:val="auto"/>
        </w:rPr>
      </w:pPr>
      <w:r>
        <w:rPr>
          <w:rFonts w:ascii="仿宋_GB2312" w:hAnsi="仿宋_GB2312" w:eastAsia="仿宋_GB2312" w:cs="仿宋_GB2312"/>
          <w:color w:val="auto"/>
          <w:spacing w:val="-3"/>
        </w:rPr>
        <w:t>（5）加密裁判、检录裁判由大赛办公室指派责任心强的专业人员担任。</w:t>
      </w:r>
    </w:p>
    <w:p w14:paraId="52D7A493">
      <w:pPr>
        <w:snapToGrid/>
        <w:spacing w:before="272" w:line="360" w:lineRule="auto"/>
        <w:ind w:left="6" w:right="85" w:firstLine="561"/>
        <w:jc w:val="both"/>
        <w:rPr>
          <w:color w:val="auto"/>
        </w:rPr>
      </w:pPr>
      <w:r>
        <w:rPr>
          <w:rFonts w:ascii="仿宋_GB2312" w:hAnsi="仿宋_GB2312" w:eastAsia="仿宋_GB2312" w:cs="仿宋_GB2312"/>
          <w:color w:val="auto"/>
          <w:spacing w:val="-3"/>
        </w:rPr>
        <w:t>（6）竞赛中所有裁判人员不得影响选手正常竞赛。</w:t>
      </w:r>
    </w:p>
    <w:p w14:paraId="56E65200">
      <w:pPr>
        <w:snapToGrid/>
        <w:spacing w:before="272" w:line="360" w:lineRule="auto"/>
        <w:ind w:left="6" w:right="85" w:firstLine="561"/>
        <w:jc w:val="both"/>
        <w:rPr>
          <w:color w:val="auto"/>
        </w:rPr>
      </w:pPr>
      <w:r>
        <w:rPr>
          <w:rFonts w:ascii="仿宋_GB2312" w:hAnsi="仿宋_GB2312" w:eastAsia="仿宋_GB2312" w:cs="仿宋_GB2312"/>
          <w:color w:val="auto"/>
          <w:spacing w:val="-3"/>
        </w:rPr>
        <w:t>（7）评分裁判严格执行竞赛项目评分标准，做到公平、公正、真实、准确，杜绝随意打分；严禁利用工作之便，弄虚作假、徇私舞弊。</w:t>
      </w:r>
    </w:p>
    <w:p w14:paraId="1E0FC2AF">
      <w:pPr>
        <w:snapToGrid/>
        <w:spacing w:before="272" w:line="360" w:lineRule="auto"/>
        <w:ind w:left="6" w:right="85" w:firstLine="561"/>
        <w:jc w:val="both"/>
        <w:rPr>
          <w:color w:val="auto"/>
        </w:rPr>
      </w:pPr>
      <w:r>
        <w:rPr>
          <w:rFonts w:ascii="仿宋_GB2312" w:hAnsi="仿宋_GB2312" w:eastAsia="仿宋_GB2312" w:cs="仿宋_GB2312"/>
          <w:color w:val="auto"/>
          <w:spacing w:val="-3"/>
        </w:rPr>
        <w:t>（8）现场裁判要提醒选手注意操作安全，对于选手的违规操作或有可能引发人身伤害、设备损坏等事故的行为，应立即制止并按规定扣分，对于参赛选手作弊的情况取消其比赛资格。</w:t>
      </w:r>
    </w:p>
    <w:p w14:paraId="26F6267C">
      <w:pPr>
        <w:snapToGrid/>
        <w:spacing w:before="272" w:line="360" w:lineRule="auto"/>
        <w:ind w:left="6" w:right="85" w:firstLine="561"/>
        <w:jc w:val="both"/>
        <w:rPr>
          <w:color w:val="auto"/>
        </w:rPr>
      </w:pPr>
      <w:r>
        <w:rPr>
          <w:rFonts w:ascii="仿宋_GB2312" w:hAnsi="仿宋_GB2312" w:eastAsia="仿宋_GB2312" w:cs="仿宋_GB2312"/>
          <w:color w:val="auto"/>
          <w:spacing w:val="-3"/>
        </w:rPr>
        <w:t>（9）竞赛期间，因裁判人员工作不负责任，造成竞赛程序无法继续进行或评判结果不真实的情况，由赛项组委会视情节轻重，给予通报批评或停止裁判资格，并通知其所在单位做出相应处理。</w:t>
      </w:r>
    </w:p>
    <w:p w14:paraId="7B05F473">
      <w:pPr>
        <w:snapToGrid/>
        <w:spacing w:before="272" w:line="367" w:lineRule="auto"/>
        <w:ind w:left="4" w:right="86" w:firstLine="560"/>
        <w:jc w:val="both"/>
        <w:rPr>
          <w:color w:val="auto"/>
        </w:rPr>
      </w:pPr>
      <w:r>
        <w:rPr>
          <w:rFonts w:ascii="仿宋_GB2312" w:hAnsi="仿宋_GB2312" w:eastAsia="仿宋_GB2312" w:cs="仿宋_GB2312"/>
          <w:color w:val="auto"/>
          <w:spacing w:val="-3"/>
          <w:sz w:val="30"/>
        </w:rPr>
        <w:t>2.</w:t>
      </w:r>
      <w:r>
        <w:rPr>
          <w:color w:val="auto"/>
        </w:rPr>
        <w:tab/>
      </w:r>
      <w:r>
        <w:rPr>
          <w:rFonts w:ascii="仿宋_GB2312" w:hAnsi="仿宋_GB2312" w:eastAsia="仿宋_GB2312" w:cs="仿宋_GB2312"/>
          <w:color w:val="auto"/>
          <w:spacing w:val="-3"/>
          <w:sz w:val="30"/>
        </w:rPr>
        <w:t>大赛监督</w:t>
      </w:r>
    </w:p>
    <w:p w14:paraId="7BC33FB4">
      <w:pPr>
        <w:snapToGrid/>
        <w:spacing w:before="272" w:line="360" w:lineRule="auto"/>
        <w:ind w:left="6" w:right="85" w:firstLine="561"/>
        <w:jc w:val="both"/>
        <w:rPr>
          <w:color w:val="auto"/>
        </w:rPr>
      </w:pPr>
      <w:r>
        <w:rPr>
          <w:rFonts w:ascii="仿宋_GB2312" w:hAnsi="仿宋_GB2312" w:eastAsia="仿宋_GB2312" w:cs="仿宋_GB2312"/>
          <w:color w:val="auto"/>
          <w:spacing w:val="-3"/>
        </w:rPr>
        <w:t>（1）监督组在大赛</w:t>
      </w:r>
      <w:r>
        <w:rPr>
          <w:rFonts w:hint="eastAsia" w:ascii="仿宋_GB2312" w:hAnsi="仿宋_GB2312" w:eastAsia="仿宋_GB2312" w:cs="仿宋_GB2312"/>
          <w:color w:val="auto"/>
          <w:spacing w:val="-3"/>
        </w:rPr>
        <w:t>组委会</w:t>
      </w:r>
      <w:r>
        <w:rPr>
          <w:rFonts w:ascii="仿宋_GB2312" w:hAnsi="仿宋_GB2312" w:eastAsia="仿宋_GB2312" w:cs="仿宋_GB2312"/>
          <w:color w:val="auto"/>
          <w:spacing w:val="-3"/>
        </w:rPr>
        <w:t>领导下，负责对大赛筹备与组织工作，实施全程现场监督。</w:t>
      </w:r>
    </w:p>
    <w:p w14:paraId="49E2EA6D">
      <w:pPr>
        <w:snapToGrid/>
        <w:spacing w:before="272" w:line="360" w:lineRule="auto"/>
        <w:ind w:left="6" w:right="85" w:firstLine="561"/>
        <w:jc w:val="both"/>
        <w:rPr>
          <w:color w:val="auto"/>
        </w:rPr>
      </w:pPr>
      <w:r>
        <w:rPr>
          <w:rFonts w:ascii="仿宋_GB2312" w:hAnsi="仿宋_GB2312" w:eastAsia="仿宋_GB2312" w:cs="仿宋_GB2312"/>
          <w:color w:val="auto"/>
          <w:spacing w:val="-3"/>
        </w:rPr>
        <w:t>（2）监督组的监督内容包括大赛场地和设施的部署、选手抽签、裁判培训、大赛组织、成绩评判及汇总、成绩发布、申诉仲裁、成绩复核等。</w:t>
      </w:r>
    </w:p>
    <w:p w14:paraId="52958F81">
      <w:pPr>
        <w:snapToGrid/>
        <w:spacing w:before="272" w:line="360" w:lineRule="auto"/>
        <w:ind w:left="6" w:right="85" w:firstLine="561"/>
        <w:jc w:val="both"/>
        <w:rPr>
          <w:color w:val="auto"/>
        </w:rPr>
      </w:pPr>
      <w:r>
        <w:rPr>
          <w:rFonts w:ascii="仿宋_GB2312" w:hAnsi="仿宋_GB2312" w:eastAsia="仿宋_GB2312" w:cs="仿宋_GB2312"/>
          <w:color w:val="auto"/>
          <w:spacing w:val="-3"/>
        </w:rPr>
        <w:t>（3）监督组对比赛过程中明显违规现象，应及时向大赛组委会提出改正建议，同时采取必要技术手段，留取监督的过程资料。</w:t>
      </w:r>
    </w:p>
    <w:p w14:paraId="02122929">
      <w:pPr>
        <w:snapToGrid/>
        <w:spacing w:before="272" w:line="360" w:lineRule="auto"/>
        <w:ind w:left="6" w:right="85" w:firstLine="561"/>
        <w:jc w:val="both"/>
        <w:rPr>
          <w:color w:val="auto"/>
        </w:rPr>
      </w:pPr>
      <w:r>
        <w:rPr>
          <w:rFonts w:ascii="仿宋_GB2312" w:hAnsi="仿宋_GB2312" w:eastAsia="仿宋_GB2312" w:cs="仿宋_GB2312"/>
          <w:color w:val="auto"/>
          <w:spacing w:val="-3"/>
        </w:rPr>
        <w:t>（4）监督组不参与具体的赛事组织活动。</w:t>
      </w:r>
    </w:p>
    <w:p w14:paraId="23FF5962">
      <w:pPr>
        <w:snapToGrid/>
        <w:spacing w:before="272" w:line="367" w:lineRule="auto"/>
        <w:ind w:left="4" w:right="86" w:firstLine="560"/>
        <w:jc w:val="both"/>
        <w:rPr>
          <w:color w:val="auto"/>
        </w:rPr>
      </w:pPr>
      <w:r>
        <w:rPr>
          <w:rFonts w:ascii="仿宋_GB2312" w:hAnsi="仿宋_GB2312" w:eastAsia="仿宋_GB2312" w:cs="仿宋_GB2312"/>
          <w:color w:val="auto"/>
          <w:spacing w:val="-3"/>
          <w:sz w:val="30"/>
        </w:rPr>
        <w:t>3.</w:t>
      </w:r>
      <w:r>
        <w:rPr>
          <w:color w:val="auto"/>
        </w:rPr>
        <w:tab/>
      </w:r>
      <w:r>
        <w:rPr>
          <w:rFonts w:ascii="仿宋_GB2312" w:hAnsi="仿宋_GB2312" w:eastAsia="仿宋_GB2312" w:cs="仿宋_GB2312"/>
          <w:color w:val="auto"/>
          <w:spacing w:val="-3"/>
          <w:sz w:val="30"/>
        </w:rPr>
        <w:t>申诉与仲裁</w:t>
      </w:r>
    </w:p>
    <w:p w14:paraId="52E9A5B0">
      <w:pPr>
        <w:snapToGrid/>
        <w:spacing w:before="272" w:line="360" w:lineRule="auto"/>
        <w:ind w:left="6" w:right="85" w:firstLine="561"/>
        <w:jc w:val="both"/>
        <w:rPr>
          <w:color w:val="auto"/>
        </w:rPr>
      </w:pPr>
      <w:r>
        <w:rPr>
          <w:rFonts w:ascii="仿宋_GB2312" w:hAnsi="仿宋_GB2312" w:eastAsia="仿宋_GB2312" w:cs="仿宋_GB2312"/>
          <w:color w:val="auto"/>
          <w:spacing w:val="-3"/>
        </w:rPr>
        <w:t>（1）各参赛选手对不符合大赛规程规定的仪器、设备、工装、材料、物件、计算机软硬件、大赛使用工具、用品，大赛执裁、赛场管理、比赛成绩，以及工作人员的不规范行为等，可向大赛仲裁组提出申诉。</w:t>
      </w:r>
    </w:p>
    <w:p w14:paraId="5A0C9FF6">
      <w:pPr>
        <w:snapToGrid/>
        <w:spacing w:before="272" w:line="360" w:lineRule="auto"/>
        <w:ind w:left="6" w:right="85" w:firstLine="561"/>
        <w:jc w:val="both"/>
        <w:rPr>
          <w:color w:val="auto"/>
        </w:rPr>
      </w:pPr>
      <w:r>
        <w:rPr>
          <w:rFonts w:ascii="仿宋_GB2312" w:hAnsi="仿宋_GB2312" w:eastAsia="仿宋_GB2312" w:cs="仿宋_GB2312"/>
          <w:color w:val="auto"/>
          <w:spacing w:val="-3"/>
        </w:rPr>
        <w:t>（2）申诉主体为参赛选手。</w:t>
      </w:r>
    </w:p>
    <w:p w14:paraId="247D8711">
      <w:pPr>
        <w:snapToGrid/>
        <w:spacing w:before="272" w:line="360" w:lineRule="auto"/>
        <w:ind w:left="6" w:right="85" w:firstLine="561"/>
        <w:jc w:val="both"/>
        <w:rPr>
          <w:color w:val="auto"/>
        </w:rPr>
      </w:pPr>
      <w:r>
        <w:rPr>
          <w:rFonts w:ascii="仿宋_GB2312" w:hAnsi="仿宋_GB2312" w:eastAsia="仿宋_GB2312" w:cs="仿宋_GB2312"/>
          <w:color w:val="auto"/>
          <w:spacing w:val="-3"/>
        </w:rPr>
        <w:t>（3）申诉启动时，参赛选手以亲笔签字的书面报告的形式递交大赛仲裁组。报告应对申诉事件的现象、发生时间、涉及人员、申诉依据等进行充分、实事求是的叙述。非书面申诉不予受理。</w:t>
      </w:r>
    </w:p>
    <w:p w14:paraId="19A5D566">
      <w:pPr>
        <w:snapToGrid/>
        <w:spacing w:before="272" w:line="360" w:lineRule="auto"/>
        <w:ind w:left="6" w:right="85" w:firstLine="561"/>
        <w:jc w:val="both"/>
        <w:rPr>
          <w:color w:val="auto"/>
        </w:rPr>
      </w:pPr>
      <w:r>
        <w:rPr>
          <w:rFonts w:ascii="仿宋_GB2312" w:hAnsi="仿宋_GB2312" w:eastAsia="仿宋_GB2312" w:cs="仿宋_GB2312"/>
          <w:color w:val="auto"/>
          <w:spacing w:val="-3"/>
        </w:rPr>
        <w:t>（4）提出申诉应在比赛结束后不超过2小时内提出。超过时效不予受理。</w:t>
      </w:r>
    </w:p>
    <w:p w14:paraId="736DCA82">
      <w:pPr>
        <w:snapToGrid/>
        <w:spacing w:before="272" w:line="360" w:lineRule="auto"/>
        <w:ind w:left="6" w:right="85" w:firstLine="561"/>
        <w:jc w:val="both"/>
        <w:rPr>
          <w:color w:val="auto"/>
        </w:rPr>
      </w:pPr>
      <w:r>
        <w:rPr>
          <w:rFonts w:ascii="仿宋_GB2312" w:hAnsi="仿宋_GB2312" w:eastAsia="仿宋_GB2312" w:cs="仿宋_GB2312"/>
          <w:color w:val="auto"/>
          <w:spacing w:val="-3"/>
        </w:rPr>
        <w:t>（5）大赛仲裁工作组在接到申诉报告后的2小时内组织复议，并及时将复议结果以书面形式告知申诉方。申诉方对复议结果仍有异议，可由省（市）大赛组委会机构向大赛组委会提出申诉。大赛组委会的仲裁结果为最终结果。</w:t>
      </w:r>
    </w:p>
    <w:p w14:paraId="19365B1C">
      <w:pPr>
        <w:snapToGrid/>
        <w:spacing w:before="272" w:line="360" w:lineRule="auto"/>
        <w:ind w:left="6" w:right="85" w:firstLine="561"/>
        <w:jc w:val="both"/>
        <w:rPr>
          <w:color w:val="auto"/>
        </w:rPr>
      </w:pPr>
      <w:r>
        <w:rPr>
          <w:rFonts w:ascii="仿宋_GB2312" w:hAnsi="仿宋_GB2312" w:eastAsia="仿宋_GB2312" w:cs="仿宋_GB2312"/>
          <w:color w:val="auto"/>
          <w:spacing w:val="-3"/>
        </w:rPr>
        <w:t>（6）申诉方不得以任何理由拒绝接收仲裁结果；不得以任何理由采取过激行为扰乱赛场秩序；仲裁结果由申诉人签收，不能代收；如在约定时间和地点申诉人离开，视为自行放弃申诉。</w:t>
      </w:r>
    </w:p>
    <w:p w14:paraId="4238CDF8">
      <w:pPr>
        <w:snapToGrid/>
        <w:spacing w:before="272" w:line="360" w:lineRule="auto"/>
        <w:ind w:left="6" w:right="85" w:firstLine="561"/>
        <w:jc w:val="both"/>
        <w:rPr>
          <w:color w:val="auto"/>
        </w:rPr>
      </w:pPr>
      <w:r>
        <w:rPr>
          <w:rFonts w:ascii="仿宋_GB2312" w:hAnsi="仿宋_GB2312" w:eastAsia="仿宋_GB2312" w:cs="仿宋_GB2312"/>
          <w:color w:val="auto"/>
          <w:spacing w:val="-3"/>
        </w:rPr>
        <w:t>（7）申诉方可随时提出放弃申诉。</w:t>
      </w:r>
    </w:p>
    <w:p w14:paraId="2B408E73">
      <w:pPr>
        <w:pStyle w:val="3"/>
        <w:snapToGrid/>
        <w:spacing w:before="447" w:line="192" w:lineRule="auto"/>
        <w:ind w:firstLine="561"/>
        <w:rPr>
          <w:rFonts w:ascii="楷体" w:hAnsi="楷体" w:eastAsia="楷体" w:cs="楷体"/>
          <w:color w:val="auto"/>
          <w:sz w:val="30"/>
        </w:rPr>
      </w:pPr>
    </w:p>
    <w:p w14:paraId="1550B9B4">
      <w:pPr>
        <w:rPr>
          <w:rFonts w:ascii="楷体" w:hAnsi="楷体" w:eastAsia="楷体" w:cs="楷体"/>
          <w:color w:val="auto"/>
          <w:sz w:val="30"/>
        </w:rPr>
      </w:pPr>
      <w:r>
        <w:rPr>
          <w:rFonts w:ascii="楷体" w:hAnsi="楷体" w:eastAsia="楷体" w:cs="楷体"/>
          <w:color w:val="auto"/>
          <w:sz w:val="30"/>
        </w:rPr>
        <w:br w:type="page"/>
      </w:r>
    </w:p>
    <w:p w14:paraId="210EE48B">
      <w:pPr>
        <w:pStyle w:val="3"/>
        <w:snapToGrid/>
        <w:spacing w:before="447" w:line="192" w:lineRule="auto"/>
        <w:ind w:firstLine="561"/>
        <w:rPr>
          <w:rFonts w:hint="eastAsia"/>
          <w:color w:val="auto"/>
        </w:rPr>
      </w:pPr>
      <w:bookmarkStart w:id="31" w:name="_Toc161476615"/>
      <w:r>
        <w:rPr>
          <w:rFonts w:ascii="楷体" w:hAnsi="楷体" w:eastAsia="楷体" w:cs="楷体"/>
          <w:color w:val="auto"/>
          <w:sz w:val="30"/>
        </w:rPr>
        <w:t>（二）大赛设备与设施管理</w:t>
      </w:r>
      <w:bookmarkEnd w:id="31"/>
    </w:p>
    <w:p w14:paraId="31A21777">
      <w:pPr>
        <w:snapToGrid/>
        <w:spacing w:line="240" w:lineRule="auto"/>
        <w:jc w:val="center"/>
        <w:rPr>
          <w:color w:val="auto"/>
        </w:rPr>
      </w:pPr>
    </w:p>
    <w:p w14:paraId="7CAB3724">
      <w:pPr>
        <w:snapToGrid/>
        <w:spacing w:line="240" w:lineRule="auto"/>
        <w:jc w:val="center"/>
        <w:rPr>
          <w:color w:val="auto"/>
        </w:rPr>
      </w:pPr>
      <w:r>
        <w:rPr>
          <w:rFonts w:ascii="黑体" w:hAnsi="黑体" w:eastAsia="黑体" w:cs="黑体"/>
          <w:color w:val="auto"/>
          <w:sz w:val="24"/>
        </w:rPr>
        <w:t>表</w:t>
      </w:r>
      <w:r>
        <w:rPr>
          <w:color w:val="auto"/>
        </w:rPr>
        <w:fldChar w:fldCharType="begin"/>
      </w:r>
      <w:r>
        <w:rPr>
          <w:rFonts w:eastAsia="Arial"/>
          <w:color w:val="auto"/>
          <w:sz w:val="24"/>
        </w:rPr>
        <w:instrText xml:space="preserve"> SEQ </w:instrText>
      </w:r>
      <w:r>
        <w:rPr>
          <w:rFonts w:ascii="黑体" w:hAnsi="黑体" w:eastAsia="黑体" w:cs="黑体"/>
          <w:color w:val="auto"/>
          <w:sz w:val="24"/>
        </w:rPr>
        <w:instrText xml:space="preserve">表</w:instrText>
      </w:r>
      <w:r>
        <w:rPr>
          <w:rFonts w:eastAsia="Arial"/>
          <w:color w:val="auto"/>
          <w:sz w:val="24"/>
        </w:rPr>
        <w:instrText xml:space="preserve"> \* ARABIC </w:instrText>
      </w:r>
      <w:r>
        <w:rPr>
          <w:color w:val="auto"/>
        </w:rPr>
        <w:fldChar w:fldCharType="separate"/>
      </w:r>
      <w:r>
        <w:rPr>
          <w:rFonts w:eastAsia="Arial"/>
          <w:color w:val="auto"/>
          <w:sz w:val="24"/>
        </w:rPr>
        <w:t>6</w:t>
      </w:r>
      <w:r>
        <w:rPr>
          <w:color w:val="auto"/>
        </w:rPr>
        <w:fldChar w:fldCharType="end"/>
      </w:r>
      <w:r>
        <w:rPr>
          <w:rFonts w:ascii="黑体" w:hAnsi="黑体" w:eastAsia="黑体" w:cs="黑体"/>
          <w:color w:val="auto"/>
          <w:sz w:val="24"/>
        </w:rPr>
        <w:t>各工位配套设施</w:t>
      </w:r>
    </w:p>
    <w:tbl>
      <w:tblPr>
        <w:tblStyle w:val="15"/>
        <w:tblpPr w:leftFromText="108" w:rightFromText="108" w:vertAnchor="text" w:horzAnchor="page" w:tblpXSpec="center" w:tblpY="538"/>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812"/>
        <w:gridCol w:w="1018"/>
        <w:gridCol w:w="1065"/>
        <w:gridCol w:w="6120"/>
      </w:tblGrid>
      <w:tr w14:paraId="1C88576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8ED9E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序号</w:t>
            </w:r>
          </w:p>
        </w:tc>
        <w:tc>
          <w:tcPr>
            <w:tcW w:w="101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25A0DF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设备</w:t>
            </w:r>
          </w:p>
        </w:tc>
        <w:tc>
          <w:tcPr>
            <w:tcW w:w="1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196BC0C">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数量</w:t>
            </w:r>
          </w:p>
        </w:tc>
        <w:tc>
          <w:tcPr>
            <w:tcW w:w="61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331DD6D">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介绍</w:t>
            </w:r>
          </w:p>
        </w:tc>
      </w:tr>
      <w:tr w14:paraId="7E9419B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D6C519D">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0783243">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工业互联网平台</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E10FB7">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1套</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BA15AF5">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工业互联网平台采用主流容器技术，支持公有云和私有化部署模式，能灵活适配不同用户需求；平台兼具实训和考核功能，全方位满足教学与评估需求。在功能架构上，工业互联网平台不仅具备边缘管理、数据接入、设备管理等基础功能，还深度融合数据分析能力。通过强大的数据接入模块，平台可高效采集多源异构数据，借助计算分析和规则引擎功能，对海量工业数据进行清洗、转换与深度挖掘，从设备运行参数到生产流程数据，精准识别数据特征和潜在规律。同时，平台集成的可视化开发功能，能将复杂的分析结果转化为直观易懂的图表、看板，便于用户快速洞察数据价值。此外，平台还涵盖设备监控、通知管理、任务调度及系统管理等功能，确保数据分析全流程稳定运行。平台基于B/S架构，无需复杂的客户端安装，用户通过浏览器即可便捷访问，为工业互联网实训教学提供实操和考核支持，助力学员掌握工业数据处理与分析的核心技能。</w:t>
            </w:r>
          </w:p>
        </w:tc>
      </w:tr>
      <w:tr w14:paraId="199C3AC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A28892">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2</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0730FF">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竞赛电脑</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A3AE4DD">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1台/人</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D116A9">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电脑配置如下：</w:t>
            </w:r>
          </w:p>
          <w:p w14:paraId="2FA01709">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CPU i5及以上，内存≥8GB 内存，硬盘≥500GB，显示器分辨率要求 1024*768 以上。</w:t>
            </w:r>
          </w:p>
          <w:p w14:paraId="082CCEA6">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电脑需安装的软件如下：</w:t>
            </w:r>
          </w:p>
          <w:p w14:paraId="5FE47BCC">
            <w:pPr>
              <w:widowControl w:val="0"/>
              <w:numPr>
                <w:ilvl w:val="0"/>
                <w:numId w:val="14"/>
              </w:numPr>
              <w:shd w:val="clear" w:color="auto" w:fill="auto"/>
              <w:kinsoku/>
              <w:autoSpaceDE/>
              <w:autoSpaceDN/>
              <w:adjustRightInd/>
              <w:snapToGrid/>
              <w:spacing w:line="240" w:lineRule="auto"/>
              <w:textAlignment w:val="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WPS或激活的office</w:t>
            </w:r>
          </w:p>
          <w:p w14:paraId="593270F6">
            <w:pPr>
              <w:widowControl w:val="0"/>
              <w:numPr>
                <w:ilvl w:val="0"/>
                <w:numId w:val="14"/>
              </w:numPr>
              <w:shd w:val="clear" w:color="auto" w:fill="auto"/>
              <w:kinsoku/>
              <w:autoSpaceDE/>
              <w:autoSpaceDN/>
              <w:adjustRightInd/>
              <w:snapToGrid/>
              <w:spacing w:line="240" w:lineRule="auto"/>
              <w:textAlignment w:val="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谷歌或Edge浏览器</w:t>
            </w:r>
          </w:p>
          <w:p w14:paraId="78D9E1CA">
            <w:pPr>
              <w:widowControl w:val="0"/>
              <w:numPr>
                <w:ilvl w:val="0"/>
                <w:numId w:val="14"/>
              </w:numPr>
              <w:shd w:val="clear" w:color="auto" w:fill="auto"/>
              <w:kinsoku/>
              <w:autoSpaceDE/>
              <w:autoSpaceDN/>
              <w:adjustRightInd/>
              <w:snapToGrid/>
              <w:spacing w:line="240" w:lineRule="auto"/>
              <w:textAlignment w:val="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截图工具</w:t>
            </w:r>
          </w:p>
        </w:tc>
      </w:tr>
      <w:tr w14:paraId="4B9CF03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5589B71">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3</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B7EC40A">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服务器</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9E6D5F8">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3台</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212490D">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系统：CentOS   Linux release 7.9.2009 (Core)，处理器≥32核，内存≥64GB，硬盘（SSD）1TB以上，系统盘≥150G，千兆网口2个及以上</w:t>
            </w:r>
          </w:p>
        </w:tc>
      </w:tr>
      <w:tr w14:paraId="40EAE80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c>
          <w:tcPr>
            <w:tcW w:w="812"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AFFB230">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4</w:t>
            </w:r>
          </w:p>
        </w:tc>
        <w:tc>
          <w:tcPr>
            <w:tcW w:w="1018"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B69E743">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U盘</w:t>
            </w:r>
          </w:p>
        </w:tc>
        <w:tc>
          <w:tcPr>
            <w:tcW w:w="1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133A317">
            <w:pPr>
              <w:snapToGrid/>
              <w:spacing w:line="240" w:lineRule="auto"/>
              <w:jc w:val="center"/>
              <w:rPr>
                <w:rFonts w:ascii="仿宋_GB2312" w:hAnsi="仿宋_GB2312" w:eastAsia="仿宋_GB2312" w:cs="仿宋_GB2312"/>
                <w:color w:val="auto"/>
                <w:szCs w:val="24"/>
              </w:rPr>
            </w:pPr>
            <w:r>
              <w:rPr>
                <w:rFonts w:hint="eastAsia" w:ascii="仿宋_GB2312" w:hAnsi="仿宋_GB2312" w:eastAsia="仿宋_GB2312" w:cs="仿宋_GB2312"/>
                <w:color w:val="auto"/>
                <w:szCs w:val="24"/>
              </w:rPr>
              <w:t>1个/人</w:t>
            </w:r>
          </w:p>
        </w:tc>
        <w:tc>
          <w:tcPr>
            <w:tcW w:w="61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CEE5E44">
            <w:pPr>
              <w:snapToGrid/>
              <w:spacing w:line="240" w:lineRule="auto"/>
              <w:rPr>
                <w:rFonts w:ascii="仿宋_GB2312" w:hAnsi="仿宋_GB2312" w:eastAsia="仿宋_GB2312" w:cs="仿宋_GB2312"/>
                <w:color w:val="auto"/>
                <w:szCs w:val="24"/>
              </w:rPr>
            </w:pPr>
            <w:r>
              <w:rPr>
                <w:rFonts w:hint="eastAsia" w:ascii="仿宋_GB2312" w:hAnsi="仿宋_GB2312" w:eastAsia="仿宋_GB2312" w:cs="仿宋_GB2312"/>
                <w:color w:val="auto"/>
                <w:szCs w:val="24"/>
              </w:rPr>
              <w:t>存储空间≥8G</w:t>
            </w:r>
          </w:p>
        </w:tc>
      </w:tr>
    </w:tbl>
    <w:p w14:paraId="49D15B2D">
      <w:pPr>
        <w:pStyle w:val="2"/>
        <w:snapToGrid/>
        <w:spacing w:before="450" w:line="185" w:lineRule="auto"/>
        <w:rPr>
          <w:rFonts w:hint="eastAsia"/>
          <w:color w:val="auto"/>
        </w:rPr>
      </w:pPr>
      <w:bookmarkStart w:id="32" w:name="_Toc1665622144"/>
      <w:r>
        <w:rPr>
          <w:rFonts w:ascii="黑体" w:hAnsi="黑体" w:eastAsia="黑体" w:cs="黑体"/>
          <w:color w:val="auto"/>
          <w:sz w:val="30"/>
        </w:rPr>
        <w:t>十三、附件（大赛样题）</w:t>
      </w:r>
      <w:bookmarkEnd w:id="32"/>
    </w:p>
    <w:p w14:paraId="586C650D">
      <w:pPr>
        <w:snapToGrid/>
        <w:spacing w:line="480" w:lineRule="auto"/>
        <w:jc w:val="center"/>
        <w:rPr>
          <w:rFonts w:ascii="黑体" w:hAnsi="黑体" w:eastAsia="黑体" w:cs="黑体"/>
          <w:color w:val="auto"/>
          <w:sz w:val="30"/>
        </w:rPr>
      </w:pPr>
    </w:p>
    <w:p w14:paraId="7A4D28FE">
      <w:pPr>
        <w:snapToGrid/>
        <w:spacing w:line="480" w:lineRule="auto"/>
        <w:rPr>
          <w:b/>
          <w:bCs/>
          <w:color w:val="auto"/>
        </w:rPr>
      </w:pPr>
      <w:r>
        <w:rPr>
          <w:rFonts w:ascii="黑体" w:hAnsi="黑体" w:eastAsia="黑体" w:cs="黑体"/>
          <w:b/>
          <w:bCs/>
          <w:color w:val="auto"/>
          <w:sz w:val="30"/>
        </w:rPr>
        <w:t>附件1：实操样题</w:t>
      </w:r>
    </w:p>
    <w:p w14:paraId="16649D1B">
      <w:pPr>
        <w:snapToGrid/>
        <w:spacing w:line="480" w:lineRule="auto"/>
        <w:jc w:val="center"/>
        <w:rPr>
          <w:b/>
          <w:bCs/>
          <w:color w:val="auto"/>
        </w:rPr>
      </w:pPr>
      <w:r>
        <w:rPr>
          <w:rFonts w:ascii="黑体" w:hAnsi="黑体" w:eastAsia="黑体" w:cs="黑体"/>
          <w:b/>
          <w:bCs/>
          <w:color w:val="auto"/>
          <w:sz w:val="30"/>
        </w:rPr>
        <w:t>第一部分 竞赛须知</w:t>
      </w:r>
    </w:p>
    <w:p w14:paraId="64BDF8F2">
      <w:pPr>
        <w:snapToGrid/>
        <w:spacing w:before="272" w:line="370" w:lineRule="auto"/>
        <w:ind w:right="85" w:firstLine="420"/>
        <w:jc w:val="both"/>
        <w:rPr>
          <w:color w:val="auto"/>
        </w:rPr>
      </w:pPr>
      <w:r>
        <w:rPr>
          <w:rFonts w:ascii="仿宋_GB2312" w:hAnsi="仿宋_GB2312" w:eastAsia="仿宋_GB2312" w:cs="仿宋_GB2312"/>
          <w:b/>
          <w:color w:val="auto"/>
          <w:spacing w:val="-3"/>
        </w:rPr>
        <w:t>一、竞赛要求</w:t>
      </w:r>
    </w:p>
    <w:p w14:paraId="7E26636D">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1.正确使用工具，操作安全规范；</w:t>
      </w:r>
    </w:p>
    <w:p w14:paraId="14E838B7">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2.竞赛过程中如有异议，可向裁判员反映，不得扰乱赛场秩序。</w:t>
      </w:r>
    </w:p>
    <w:p w14:paraId="7CF239DF">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3.遵守赛场纪律，尊重裁判，服从安排。</w:t>
      </w:r>
    </w:p>
    <w:p w14:paraId="2EE67EAA">
      <w:pPr>
        <w:snapToGrid/>
        <w:spacing w:before="272" w:line="370" w:lineRule="auto"/>
        <w:ind w:right="85" w:firstLine="420"/>
        <w:jc w:val="both"/>
        <w:rPr>
          <w:color w:val="auto"/>
        </w:rPr>
      </w:pPr>
      <w:r>
        <w:rPr>
          <w:rFonts w:ascii="仿宋_GB2312" w:hAnsi="仿宋_GB2312" w:eastAsia="仿宋_GB2312" w:cs="仿宋_GB2312"/>
          <w:b/>
          <w:color w:val="auto"/>
          <w:spacing w:val="-3"/>
        </w:rPr>
        <w:t>二、职业素养与安全意识</w:t>
      </w:r>
    </w:p>
    <w:p w14:paraId="1F43B666">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1.完成竞赛任务所有操作符合安全操作规范，注意用电安全。</w:t>
      </w:r>
    </w:p>
    <w:p w14:paraId="53463798">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2.遵守赛场纪律，尊重赛场工作人员；爱惜赛场设备、器材。</w:t>
      </w:r>
    </w:p>
    <w:p w14:paraId="154BAFF6">
      <w:pPr>
        <w:snapToGrid/>
        <w:spacing w:before="272" w:line="370" w:lineRule="auto"/>
        <w:ind w:right="85" w:firstLine="420"/>
        <w:jc w:val="both"/>
        <w:rPr>
          <w:color w:val="auto"/>
        </w:rPr>
      </w:pPr>
      <w:r>
        <w:rPr>
          <w:rFonts w:ascii="仿宋_GB2312" w:hAnsi="仿宋_GB2312" w:eastAsia="仿宋_GB2312" w:cs="仿宋_GB2312"/>
          <w:b/>
          <w:color w:val="auto"/>
          <w:spacing w:val="-3"/>
        </w:rPr>
        <w:t>三、扣分项</w:t>
      </w:r>
    </w:p>
    <w:p w14:paraId="4A2D2B05">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1.在竞赛过程中，因操作不当导致设备破坏性损坏或造成安全事故的，视情节扣10〜20分，情况严重者取消比赛资格。</w:t>
      </w:r>
    </w:p>
    <w:p w14:paraId="7C4F36FC">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2.衣着不整、污染赛场环境、扰乱赛场秩序、干扰裁判工作等不符合职业规范的行为，在职业素养模块中扣除相应职业素养分，情节严重者取消竞赛资格。</w:t>
      </w:r>
    </w:p>
    <w:p w14:paraId="7E7F95F1">
      <w:pPr>
        <w:snapToGrid/>
        <w:spacing w:before="272" w:line="370" w:lineRule="auto"/>
        <w:ind w:right="85" w:firstLine="420"/>
        <w:jc w:val="both"/>
        <w:rPr>
          <w:color w:val="auto"/>
        </w:rPr>
      </w:pPr>
      <w:r>
        <w:rPr>
          <w:rFonts w:ascii="仿宋_GB2312" w:hAnsi="仿宋_GB2312" w:eastAsia="仿宋_GB2312" w:cs="仿宋_GB2312"/>
          <w:b/>
          <w:color w:val="auto"/>
          <w:spacing w:val="-3"/>
        </w:rPr>
        <w:t>四、选手须知</w:t>
      </w:r>
    </w:p>
    <w:p w14:paraId="56DE374C">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1.出现任务书缺页、字迹不清等问题，请及时向裁判申请更换任务书。</w:t>
      </w:r>
    </w:p>
    <w:p w14:paraId="6EA159A5">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2.竞赛任务完成过程配有一台编程计算机，参考资料放置在U盘“参考资料”文件夹下。</w:t>
      </w:r>
    </w:p>
    <w:p w14:paraId="6819F742">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3.参赛人员应在3小时内完成任务书规定内容；选手在竞赛过程中创建的程序文件和提交的答案必须存储到U盘“竞赛编号”文件夹下。</w:t>
      </w:r>
    </w:p>
    <w:p w14:paraId="1257CEDB">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4.选手提交的试卷不得出现学校、姓名等与身份有关的信息，否则成绩无效。</w:t>
      </w:r>
    </w:p>
    <w:p w14:paraId="29B639B7">
      <w:pPr>
        <w:snapToGrid/>
        <w:spacing w:before="272" w:line="360" w:lineRule="auto"/>
        <w:ind w:left="6" w:right="85" w:firstLine="561"/>
        <w:jc w:val="both"/>
        <w:rPr>
          <w:color w:val="auto"/>
        </w:rPr>
      </w:pPr>
      <w:r>
        <w:rPr>
          <w:rFonts w:ascii="仿宋_GB2312" w:hAnsi="仿宋_GB2312" w:eastAsia="仿宋_GB2312" w:cs="仿宋_GB2312"/>
          <w:color w:val="auto"/>
          <w:spacing w:val="-3"/>
        </w:rPr>
        <w:t>5.在完成任务过程中，请及时保存程序及数据。</w:t>
      </w:r>
    </w:p>
    <w:p w14:paraId="6ECFA6B8">
      <w:pPr>
        <w:snapToGrid/>
        <w:spacing w:line="240" w:lineRule="auto"/>
        <w:rPr>
          <w:color w:val="auto"/>
        </w:rPr>
      </w:pPr>
    </w:p>
    <w:p w14:paraId="208A3F1F">
      <w:pPr>
        <w:snapToGrid/>
        <w:spacing w:line="240" w:lineRule="auto"/>
        <w:rPr>
          <w:color w:val="auto"/>
        </w:rPr>
      </w:pPr>
    </w:p>
    <w:p w14:paraId="1C4229DB">
      <w:pPr>
        <w:snapToGrid/>
        <w:spacing w:line="480" w:lineRule="auto"/>
        <w:jc w:val="center"/>
        <w:rPr>
          <w:b/>
          <w:bCs/>
          <w:color w:val="auto"/>
        </w:rPr>
      </w:pPr>
      <w:r>
        <w:rPr>
          <w:rFonts w:ascii="黑体" w:hAnsi="黑体" w:eastAsia="黑体" w:cs="黑体"/>
          <w:b/>
          <w:bCs/>
          <w:color w:val="auto"/>
          <w:sz w:val="30"/>
        </w:rPr>
        <w:t>第二部分竞赛任务</w:t>
      </w:r>
    </w:p>
    <w:p w14:paraId="107272C4">
      <w:pPr>
        <w:snapToGrid/>
        <w:spacing w:before="272" w:line="370" w:lineRule="auto"/>
        <w:ind w:right="85" w:firstLine="420"/>
        <w:jc w:val="both"/>
        <w:rPr>
          <w:color w:val="auto"/>
        </w:rPr>
      </w:pPr>
      <w:r>
        <w:rPr>
          <w:rFonts w:ascii="仿宋_GB2312" w:hAnsi="仿宋_GB2312" w:eastAsia="仿宋_GB2312" w:cs="仿宋_GB2312"/>
          <w:b/>
          <w:color w:val="auto"/>
          <w:spacing w:val="-3"/>
        </w:rPr>
        <w:t>一、任务要求</w:t>
      </w:r>
    </w:p>
    <w:p w14:paraId="3C47320B">
      <w:pPr>
        <w:snapToGrid/>
        <w:spacing w:before="272" w:line="360" w:lineRule="auto"/>
        <w:ind w:left="6" w:right="85" w:firstLine="561"/>
        <w:jc w:val="both"/>
        <w:rPr>
          <w:rFonts w:ascii="仿宋_GB2312" w:hAnsi="仿宋_GB2312" w:eastAsia="仿宋_GB2312" w:cs="仿宋_GB2312"/>
          <w:color w:val="auto"/>
          <w:spacing w:val="-3"/>
          <w:szCs w:val="28"/>
        </w:rPr>
      </w:pPr>
      <w:r>
        <w:rPr>
          <w:rFonts w:hint="eastAsia" w:ascii="仿宋_GB2312" w:hAnsi="仿宋_GB2312" w:eastAsia="仿宋_GB2312" w:cs="仿宋_GB2312"/>
          <w:color w:val="auto"/>
          <w:spacing w:val="-3"/>
          <w:szCs w:val="28"/>
        </w:rPr>
        <w:t>该场景基于工业互联网技术在智能供水系统中的应用，围绕水源管理、水质监控、管道压力监测、流量控制和故障报警等环节，通过数据采集、边缘计算和实时数据分析，实现远程监控和及时预警。通过模拟供水系统的自动化操作，将实时数据上传至工业互联网平台，完成数据采集，数据处理、数据计算、标识解析及数据可视化展示、数据安全、安全防护等任务。</w:t>
      </w:r>
    </w:p>
    <w:p w14:paraId="0BB4AAAC">
      <w:pPr>
        <w:snapToGrid/>
        <w:spacing w:before="272" w:line="370" w:lineRule="auto"/>
        <w:ind w:right="85" w:firstLine="420"/>
        <w:jc w:val="both"/>
        <w:rPr>
          <w:color w:val="auto"/>
        </w:rPr>
      </w:pPr>
      <w:r>
        <w:rPr>
          <w:rFonts w:ascii="仿宋_GB2312" w:hAnsi="仿宋_GB2312" w:eastAsia="仿宋_GB2312" w:cs="仿宋_GB2312"/>
          <w:b/>
          <w:color w:val="auto"/>
          <w:spacing w:val="-3"/>
        </w:rPr>
        <w:t>二、任务环境</w:t>
      </w:r>
    </w:p>
    <w:p w14:paraId="07735842">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工位设备：计算机、</w:t>
      </w:r>
      <w:r>
        <w:rPr>
          <w:rFonts w:hint="eastAsia" w:ascii="仿宋_GB2312" w:hAnsi="仿宋_GB2312" w:eastAsia="仿宋_GB2312" w:cs="仿宋_GB2312"/>
          <w:color w:val="auto"/>
          <w:spacing w:val="-3"/>
        </w:rPr>
        <w:t>工业互联网</w:t>
      </w:r>
      <w:r>
        <w:rPr>
          <w:rFonts w:ascii="仿宋_GB2312" w:hAnsi="仿宋_GB2312" w:eastAsia="仿宋_GB2312" w:cs="仿宋_GB2312"/>
          <w:color w:val="auto"/>
          <w:spacing w:val="-3"/>
        </w:rPr>
        <w:t>平台等。</w:t>
      </w:r>
    </w:p>
    <w:p w14:paraId="36F0B295">
      <w:pPr>
        <w:snapToGrid/>
        <w:spacing w:before="272" w:line="360" w:lineRule="auto"/>
        <w:ind w:left="6" w:right="85" w:firstLine="561"/>
        <w:jc w:val="both"/>
        <w:rPr>
          <w:rFonts w:ascii="仿宋_GB2312" w:hAnsi="仿宋_GB2312" w:eastAsia="仿宋_GB2312" w:cs="仿宋_GB2312"/>
          <w:color w:val="auto"/>
          <w:spacing w:val="-3"/>
        </w:rPr>
      </w:pPr>
      <w:r>
        <w:rPr>
          <w:rFonts w:ascii="仿宋_GB2312" w:hAnsi="仿宋_GB2312" w:eastAsia="仿宋_GB2312" w:cs="仿宋_GB2312"/>
          <w:color w:val="auto"/>
          <w:spacing w:val="-3"/>
        </w:rPr>
        <w:t>参考资料：见U盘中“参考资料”文件夹。</w:t>
      </w:r>
    </w:p>
    <w:p w14:paraId="0B3EC199">
      <w:pPr>
        <w:snapToGrid/>
        <w:spacing w:before="272" w:line="370" w:lineRule="auto"/>
        <w:ind w:right="85" w:firstLine="420"/>
        <w:jc w:val="both"/>
        <w:rPr>
          <w:color w:val="auto"/>
        </w:rPr>
      </w:pPr>
      <w:r>
        <w:rPr>
          <w:rFonts w:ascii="仿宋_GB2312" w:hAnsi="仿宋_GB2312" w:eastAsia="仿宋_GB2312" w:cs="仿宋_GB2312"/>
          <w:b/>
          <w:color w:val="auto"/>
          <w:spacing w:val="-3"/>
        </w:rPr>
        <w:t>三、任务实施</w:t>
      </w:r>
    </w:p>
    <w:p w14:paraId="356AF74B">
      <w:pPr>
        <w:snapToGrid/>
        <w:spacing w:before="272" w:line="360" w:lineRule="auto"/>
        <w:ind w:left="6" w:right="85" w:firstLine="561"/>
        <w:jc w:val="both"/>
        <w:rPr>
          <w:rFonts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sz w:val="24"/>
          <w:szCs w:val="24"/>
        </w:rPr>
        <w:t>注：将截图提交到答题卡中，最终将答题卡的工位号改为自己的工位。</w:t>
      </w:r>
    </w:p>
    <w:p w14:paraId="0DAA494C">
      <w:pPr>
        <w:snapToGrid/>
        <w:spacing w:before="272" w:line="360" w:lineRule="auto"/>
        <w:ind w:right="85"/>
        <w:jc w:val="both"/>
        <w:rPr>
          <w:rFonts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rPr>
        <w:t>任务1工业数据建模（20分）</w:t>
      </w:r>
    </w:p>
    <w:p w14:paraId="1DEE2713">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任务描述</w:t>
      </w:r>
    </w:p>
    <w:p w14:paraId="2EAF580C">
      <w:pPr>
        <w:snapToGrid/>
        <w:spacing w:before="272" w:line="360" w:lineRule="auto"/>
        <w:ind w:left="6" w:right="85" w:firstLine="561"/>
        <w:jc w:val="both"/>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在浏览器输入工业互联网平台地址，进入登录页面，使用提供的账号和密码登录工业互联网平台。根据提供的模型、设备信息完成模型定义和设备创建，将工业数据实时展示到工业互联网平台，用以数据处理和分析。</w:t>
      </w:r>
    </w:p>
    <w:p w14:paraId="67690622">
      <w:pPr>
        <w:pStyle w:val="4"/>
        <w:spacing w:line="276" w:lineRule="auto"/>
        <w:jc w:val="center"/>
        <w:rPr>
          <w:rFonts w:ascii="宋体" w:hAnsi="宋体" w:eastAsia="微软雅黑" w:cs="仿宋"/>
        </w:rPr>
      </w:pPr>
      <w:r>
        <w:t>表</w:t>
      </w:r>
      <w:r>
        <w:rPr>
          <w:rFonts w:hint="eastAsia"/>
        </w:rPr>
        <w:t>1供水设备模型、设备信息表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1365"/>
        <w:gridCol w:w="1371"/>
        <w:gridCol w:w="1559"/>
        <w:gridCol w:w="1360"/>
        <w:gridCol w:w="1389"/>
      </w:tblGrid>
      <w:tr w14:paraId="34B6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C3BD96" w:themeFill="background2" w:themeFillShade="BF"/>
            <w:vAlign w:val="top"/>
          </w:tcPr>
          <w:p w14:paraId="049C3D6A">
            <w:pPr>
              <w:spacing w:line="360" w:lineRule="auto"/>
              <w:jc w:val="center"/>
              <w:rPr>
                <w:rFonts w:ascii="仿宋" w:hAnsi="仿宋" w:cs="仿宋"/>
                <w:sz w:val="21"/>
              </w:rPr>
            </w:pPr>
            <w:r>
              <w:rPr>
                <w:rFonts w:hint="eastAsia" w:ascii="仿宋" w:hAnsi="仿宋" w:cs="仿宋"/>
                <w:sz w:val="21"/>
              </w:rPr>
              <w:t>模型设备信息表</w:t>
            </w:r>
          </w:p>
        </w:tc>
      </w:tr>
      <w:tr w14:paraId="2B99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14:paraId="60E81339">
            <w:pPr>
              <w:spacing w:line="360" w:lineRule="auto"/>
              <w:jc w:val="both"/>
              <w:rPr>
                <w:rFonts w:ascii="仿宋" w:hAnsi="仿宋" w:cs="仿宋"/>
                <w:sz w:val="21"/>
              </w:rPr>
            </w:pPr>
            <w:r>
              <w:rPr>
                <w:rFonts w:hint="eastAsia" w:ascii="仿宋" w:hAnsi="仿宋" w:cs="仿宋"/>
                <w:sz w:val="21"/>
              </w:rPr>
              <w:t>模型基本信息</w:t>
            </w:r>
          </w:p>
        </w:tc>
        <w:tc>
          <w:tcPr>
            <w:tcW w:w="3791" w:type="pct"/>
            <w:gridSpan w:val="5"/>
            <w:vAlign w:val="center"/>
          </w:tcPr>
          <w:p w14:paraId="578408B9">
            <w:pPr>
              <w:spacing w:line="360" w:lineRule="auto"/>
              <w:rPr>
                <w:rFonts w:ascii="仿宋" w:hAnsi="仿宋" w:cs="仿宋"/>
                <w:sz w:val="21"/>
              </w:rPr>
            </w:pPr>
            <w:r>
              <w:rPr>
                <w:rFonts w:hint="eastAsia" w:ascii="仿宋" w:hAnsi="仿宋" w:cs="仿宋"/>
                <w:sz w:val="21"/>
              </w:rPr>
              <w:t>模型名称：供水设备模型+工位号</w:t>
            </w:r>
          </w:p>
          <w:p w14:paraId="1B689E40">
            <w:pPr>
              <w:spacing w:line="360" w:lineRule="auto"/>
              <w:rPr>
                <w:rFonts w:ascii="仿宋" w:hAnsi="仿宋" w:cs="仿宋"/>
                <w:sz w:val="21"/>
              </w:rPr>
            </w:pPr>
            <w:r>
              <w:rPr>
                <w:rFonts w:hint="eastAsia" w:ascii="仿宋" w:hAnsi="仿宋" w:cs="仿宋"/>
                <w:sz w:val="21"/>
              </w:rPr>
              <w:t>模型标识：gongshuiMod+工位号</w:t>
            </w:r>
          </w:p>
          <w:p w14:paraId="078EDDD0">
            <w:pPr>
              <w:spacing w:line="360" w:lineRule="auto"/>
              <w:rPr>
                <w:rFonts w:ascii="仿宋" w:hAnsi="仿宋" w:cs="仿宋"/>
                <w:sz w:val="21"/>
              </w:rPr>
            </w:pPr>
            <w:r>
              <w:rPr>
                <w:rFonts w:hint="eastAsia" w:ascii="仿宋" w:hAnsi="仿宋" w:cs="仿宋"/>
                <w:sz w:val="21"/>
              </w:rPr>
              <w:t>设备类型：直连</w:t>
            </w:r>
          </w:p>
        </w:tc>
      </w:tr>
      <w:tr w14:paraId="4BE2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restart"/>
            <w:vAlign w:val="center"/>
          </w:tcPr>
          <w:p w14:paraId="1454895A">
            <w:pPr>
              <w:spacing w:line="360" w:lineRule="auto"/>
              <w:jc w:val="both"/>
              <w:rPr>
                <w:rFonts w:ascii="仿宋" w:hAnsi="仿宋" w:cs="仿宋"/>
                <w:sz w:val="21"/>
              </w:rPr>
            </w:pPr>
            <w:r>
              <w:rPr>
                <w:rFonts w:hint="eastAsia" w:ascii="仿宋" w:hAnsi="仿宋" w:cs="仿宋"/>
                <w:sz w:val="21"/>
              </w:rPr>
              <w:t>模型台账</w:t>
            </w:r>
          </w:p>
        </w:tc>
        <w:tc>
          <w:tcPr>
            <w:tcW w:w="735" w:type="pct"/>
            <w:shd w:val="clear" w:color="auto" w:fill="C3BD96" w:themeFill="background2" w:themeFillShade="BF"/>
            <w:vAlign w:val="center"/>
          </w:tcPr>
          <w:p w14:paraId="0907A2F0">
            <w:pPr>
              <w:spacing w:line="360" w:lineRule="auto"/>
              <w:jc w:val="center"/>
              <w:rPr>
                <w:rFonts w:ascii="仿宋" w:hAnsi="仿宋" w:cs="仿宋"/>
                <w:sz w:val="21"/>
              </w:rPr>
            </w:pPr>
            <w:r>
              <w:rPr>
                <w:rFonts w:hint="eastAsia" w:ascii="仿宋" w:hAnsi="仿宋" w:cs="仿宋"/>
                <w:sz w:val="21"/>
              </w:rPr>
              <w:t>名称</w:t>
            </w:r>
          </w:p>
        </w:tc>
        <w:tc>
          <w:tcPr>
            <w:tcW w:w="738" w:type="pct"/>
            <w:shd w:val="clear" w:color="auto" w:fill="C3BD96" w:themeFill="background2" w:themeFillShade="BF"/>
            <w:vAlign w:val="center"/>
          </w:tcPr>
          <w:p w14:paraId="43907ACB">
            <w:pPr>
              <w:spacing w:line="360" w:lineRule="auto"/>
              <w:jc w:val="center"/>
              <w:rPr>
                <w:rFonts w:ascii="仿宋" w:hAnsi="仿宋" w:cs="仿宋"/>
                <w:sz w:val="21"/>
              </w:rPr>
            </w:pPr>
            <w:r>
              <w:rPr>
                <w:rFonts w:hint="eastAsia" w:ascii="仿宋" w:hAnsi="仿宋" w:cs="仿宋"/>
                <w:sz w:val="21"/>
              </w:rPr>
              <w:t>数据类型</w:t>
            </w:r>
          </w:p>
        </w:tc>
        <w:tc>
          <w:tcPr>
            <w:tcW w:w="839" w:type="pct"/>
            <w:shd w:val="clear" w:color="auto" w:fill="C3BD96" w:themeFill="background2" w:themeFillShade="BF"/>
            <w:vAlign w:val="center"/>
          </w:tcPr>
          <w:p w14:paraId="62678595">
            <w:pPr>
              <w:spacing w:line="360" w:lineRule="auto"/>
              <w:jc w:val="center"/>
              <w:rPr>
                <w:rFonts w:ascii="仿宋" w:hAnsi="仿宋" w:cs="仿宋"/>
                <w:sz w:val="21"/>
              </w:rPr>
            </w:pPr>
            <w:r>
              <w:rPr>
                <w:rFonts w:hint="eastAsia" w:ascii="仿宋" w:hAnsi="仿宋" w:cs="仿宋"/>
                <w:sz w:val="21"/>
              </w:rPr>
              <w:t>默认值</w:t>
            </w:r>
          </w:p>
        </w:tc>
        <w:tc>
          <w:tcPr>
            <w:tcW w:w="732" w:type="pct"/>
            <w:shd w:val="clear" w:color="auto" w:fill="C3BD96" w:themeFill="background2" w:themeFillShade="BF"/>
            <w:vAlign w:val="center"/>
          </w:tcPr>
          <w:p w14:paraId="5AB92F4F">
            <w:pPr>
              <w:spacing w:line="360" w:lineRule="auto"/>
              <w:jc w:val="center"/>
              <w:rPr>
                <w:rFonts w:ascii="仿宋" w:hAnsi="仿宋" w:cs="仿宋"/>
                <w:sz w:val="21"/>
              </w:rPr>
            </w:pPr>
            <w:r>
              <w:rPr>
                <w:rFonts w:hint="eastAsia" w:ascii="仿宋" w:hAnsi="仿宋" w:cs="仿宋"/>
                <w:sz w:val="21"/>
              </w:rPr>
              <w:t>单位</w:t>
            </w:r>
          </w:p>
        </w:tc>
        <w:tc>
          <w:tcPr>
            <w:tcW w:w="746" w:type="pct"/>
            <w:shd w:val="clear" w:color="auto" w:fill="C3BD96" w:themeFill="background2" w:themeFillShade="BF"/>
            <w:vAlign w:val="center"/>
          </w:tcPr>
          <w:p w14:paraId="0CFB0EE7">
            <w:pPr>
              <w:spacing w:line="360" w:lineRule="auto"/>
              <w:jc w:val="center"/>
              <w:rPr>
                <w:rFonts w:ascii="仿宋" w:hAnsi="仿宋" w:cs="仿宋"/>
                <w:sz w:val="21"/>
              </w:rPr>
            </w:pPr>
            <w:r>
              <w:rPr>
                <w:rFonts w:hint="eastAsia" w:ascii="仿宋" w:hAnsi="仿宋" w:cs="仿宋"/>
                <w:sz w:val="21"/>
              </w:rPr>
              <w:t>来源</w:t>
            </w:r>
          </w:p>
        </w:tc>
      </w:tr>
      <w:tr w14:paraId="6EBC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B720400">
            <w:pPr>
              <w:spacing w:line="360" w:lineRule="auto"/>
              <w:rPr>
                <w:rFonts w:ascii="仿宋" w:hAnsi="仿宋" w:cs="仿宋"/>
                <w:sz w:val="21"/>
              </w:rPr>
            </w:pPr>
          </w:p>
        </w:tc>
        <w:tc>
          <w:tcPr>
            <w:tcW w:w="735" w:type="pct"/>
            <w:vAlign w:val="center"/>
          </w:tcPr>
          <w:p w14:paraId="7C1D7E6A">
            <w:pPr>
              <w:spacing w:line="480" w:lineRule="exact"/>
              <w:jc w:val="center"/>
              <w:rPr>
                <w:rFonts w:ascii="仿宋" w:hAnsi="仿宋" w:cs="仿宋"/>
                <w:sz w:val="21"/>
              </w:rPr>
            </w:pPr>
            <w:r>
              <w:rPr>
                <w:rFonts w:hint="eastAsia" w:ascii="仿宋" w:hAnsi="仿宋" w:cs="仿宋"/>
                <w:sz w:val="21"/>
              </w:rPr>
              <w:t>额定电压</w:t>
            </w:r>
          </w:p>
        </w:tc>
        <w:tc>
          <w:tcPr>
            <w:tcW w:w="738" w:type="pct"/>
            <w:vAlign w:val="center"/>
          </w:tcPr>
          <w:p w14:paraId="779158E7">
            <w:pPr>
              <w:spacing w:line="480" w:lineRule="exact"/>
              <w:jc w:val="center"/>
              <w:rPr>
                <w:rFonts w:ascii="仿宋" w:hAnsi="仿宋" w:cs="仿宋"/>
                <w:sz w:val="21"/>
              </w:rPr>
            </w:pPr>
            <w:r>
              <w:rPr>
                <w:rFonts w:hint="eastAsia" w:ascii="仿宋" w:hAnsi="仿宋" w:cs="仿宋"/>
                <w:sz w:val="21"/>
              </w:rPr>
              <w:t>小数型</w:t>
            </w:r>
          </w:p>
        </w:tc>
        <w:tc>
          <w:tcPr>
            <w:tcW w:w="839" w:type="pct"/>
            <w:vAlign w:val="center"/>
          </w:tcPr>
          <w:p w14:paraId="5F3E23E9">
            <w:pPr>
              <w:spacing w:line="480" w:lineRule="exact"/>
              <w:jc w:val="center"/>
              <w:rPr>
                <w:rFonts w:ascii="仿宋" w:hAnsi="仿宋" w:cs="仿宋"/>
                <w:sz w:val="21"/>
              </w:rPr>
            </w:pPr>
          </w:p>
        </w:tc>
        <w:tc>
          <w:tcPr>
            <w:tcW w:w="732" w:type="pct"/>
            <w:vAlign w:val="center"/>
          </w:tcPr>
          <w:p w14:paraId="2A6C0B67">
            <w:pPr>
              <w:spacing w:line="480" w:lineRule="exact"/>
              <w:jc w:val="center"/>
              <w:rPr>
                <w:rFonts w:ascii="仿宋" w:hAnsi="仿宋" w:cs="仿宋"/>
                <w:sz w:val="21"/>
              </w:rPr>
            </w:pPr>
            <w:r>
              <w:rPr>
                <w:rFonts w:hint="eastAsia" w:ascii="仿宋" w:hAnsi="仿宋" w:cs="仿宋"/>
                <w:sz w:val="21"/>
              </w:rPr>
              <w:t>V</w:t>
            </w:r>
          </w:p>
        </w:tc>
        <w:tc>
          <w:tcPr>
            <w:tcW w:w="746" w:type="pct"/>
            <w:vAlign w:val="center"/>
          </w:tcPr>
          <w:p w14:paraId="4B29E227">
            <w:pPr>
              <w:spacing w:line="480" w:lineRule="exact"/>
              <w:jc w:val="center"/>
              <w:rPr>
                <w:rFonts w:ascii="仿宋" w:hAnsi="仿宋" w:cs="仿宋"/>
                <w:sz w:val="21"/>
              </w:rPr>
            </w:pPr>
            <w:r>
              <w:rPr>
                <w:rFonts w:hint="eastAsia" w:ascii="仿宋" w:hAnsi="仿宋" w:cs="仿宋"/>
                <w:sz w:val="21"/>
              </w:rPr>
              <w:t>台账</w:t>
            </w:r>
          </w:p>
        </w:tc>
      </w:tr>
      <w:tr w14:paraId="007F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2459A046">
            <w:pPr>
              <w:spacing w:line="360" w:lineRule="auto"/>
              <w:rPr>
                <w:rFonts w:ascii="仿宋" w:hAnsi="仿宋" w:cs="仿宋"/>
                <w:sz w:val="21"/>
              </w:rPr>
            </w:pPr>
          </w:p>
        </w:tc>
        <w:tc>
          <w:tcPr>
            <w:tcW w:w="735" w:type="pct"/>
            <w:vAlign w:val="center"/>
          </w:tcPr>
          <w:p w14:paraId="5464DE30">
            <w:pPr>
              <w:spacing w:line="480" w:lineRule="exact"/>
              <w:jc w:val="center"/>
              <w:rPr>
                <w:rFonts w:ascii="仿宋" w:hAnsi="仿宋" w:cs="仿宋"/>
                <w:sz w:val="21"/>
              </w:rPr>
            </w:pPr>
            <w:r>
              <w:rPr>
                <w:rFonts w:hint="eastAsia" w:ascii="仿宋" w:hAnsi="仿宋" w:cs="仿宋"/>
                <w:sz w:val="21"/>
              </w:rPr>
              <w:t>额定电流</w:t>
            </w:r>
          </w:p>
        </w:tc>
        <w:tc>
          <w:tcPr>
            <w:tcW w:w="738" w:type="pct"/>
            <w:vAlign w:val="center"/>
          </w:tcPr>
          <w:p w14:paraId="34187713">
            <w:pPr>
              <w:spacing w:line="480" w:lineRule="exact"/>
              <w:jc w:val="center"/>
              <w:rPr>
                <w:rFonts w:ascii="仿宋" w:hAnsi="仿宋" w:cs="仿宋"/>
                <w:sz w:val="21"/>
              </w:rPr>
            </w:pPr>
            <w:r>
              <w:rPr>
                <w:rFonts w:hint="eastAsia" w:ascii="仿宋" w:hAnsi="仿宋" w:cs="仿宋"/>
                <w:sz w:val="21"/>
              </w:rPr>
              <w:t>小数型</w:t>
            </w:r>
          </w:p>
        </w:tc>
        <w:tc>
          <w:tcPr>
            <w:tcW w:w="839" w:type="pct"/>
            <w:vAlign w:val="center"/>
          </w:tcPr>
          <w:p w14:paraId="7CD04BA8">
            <w:pPr>
              <w:spacing w:line="480" w:lineRule="exact"/>
              <w:jc w:val="center"/>
              <w:rPr>
                <w:rFonts w:ascii="仿宋" w:hAnsi="仿宋" w:cs="仿宋"/>
                <w:sz w:val="21"/>
              </w:rPr>
            </w:pPr>
          </w:p>
        </w:tc>
        <w:tc>
          <w:tcPr>
            <w:tcW w:w="732" w:type="pct"/>
            <w:vAlign w:val="center"/>
          </w:tcPr>
          <w:p w14:paraId="085D6452">
            <w:pPr>
              <w:spacing w:line="480" w:lineRule="exact"/>
              <w:jc w:val="center"/>
              <w:rPr>
                <w:rFonts w:ascii="仿宋" w:hAnsi="仿宋" w:cs="仿宋"/>
                <w:sz w:val="21"/>
              </w:rPr>
            </w:pPr>
            <w:r>
              <w:rPr>
                <w:rFonts w:hint="eastAsia" w:ascii="仿宋" w:hAnsi="仿宋" w:cs="仿宋"/>
                <w:sz w:val="21"/>
              </w:rPr>
              <w:t>A</w:t>
            </w:r>
          </w:p>
        </w:tc>
        <w:tc>
          <w:tcPr>
            <w:tcW w:w="746" w:type="pct"/>
            <w:vAlign w:val="center"/>
          </w:tcPr>
          <w:p w14:paraId="41C5CDE5">
            <w:pPr>
              <w:spacing w:line="480" w:lineRule="exact"/>
              <w:jc w:val="center"/>
              <w:rPr>
                <w:rFonts w:ascii="仿宋" w:hAnsi="仿宋" w:cs="仿宋"/>
                <w:sz w:val="21"/>
              </w:rPr>
            </w:pPr>
            <w:r>
              <w:rPr>
                <w:rFonts w:hint="eastAsia" w:ascii="仿宋" w:hAnsi="仿宋" w:cs="仿宋"/>
                <w:sz w:val="21"/>
              </w:rPr>
              <w:t>台账</w:t>
            </w:r>
          </w:p>
        </w:tc>
      </w:tr>
      <w:tr w14:paraId="5453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A230F60">
            <w:pPr>
              <w:spacing w:line="360" w:lineRule="auto"/>
              <w:rPr>
                <w:rFonts w:ascii="仿宋" w:hAnsi="仿宋" w:cs="仿宋"/>
                <w:sz w:val="21"/>
              </w:rPr>
            </w:pPr>
          </w:p>
        </w:tc>
        <w:tc>
          <w:tcPr>
            <w:tcW w:w="735" w:type="pct"/>
            <w:vAlign w:val="center"/>
          </w:tcPr>
          <w:p w14:paraId="68094D95">
            <w:pPr>
              <w:spacing w:line="480" w:lineRule="exact"/>
              <w:jc w:val="center"/>
              <w:rPr>
                <w:rFonts w:ascii="仿宋" w:hAnsi="仿宋" w:cs="仿宋"/>
                <w:sz w:val="21"/>
              </w:rPr>
            </w:pPr>
            <w:r>
              <w:rPr>
                <w:rFonts w:hint="eastAsia" w:ascii="仿宋" w:hAnsi="仿宋" w:cs="仿宋"/>
                <w:sz w:val="21"/>
              </w:rPr>
              <w:t>额定转速</w:t>
            </w:r>
          </w:p>
        </w:tc>
        <w:tc>
          <w:tcPr>
            <w:tcW w:w="738" w:type="pct"/>
            <w:vAlign w:val="center"/>
          </w:tcPr>
          <w:p w14:paraId="2788AAEF">
            <w:pPr>
              <w:spacing w:line="480" w:lineRule="exact"/>
              <w:jc w:val="center"/>
              <w:rPr>
                <w:rFonts w:ascii="仿宋" w:hAnsi="仿宋" w:cs="仿宋"/>
                <w:sz w:val="21"/>
              </w:rPr>
            </w:pPr>
            <w:r>
              <w:rPr>
                <w:rFonts w:hint="eastAsia" w:ascii="仿宋" w:hAnsi="仿宋" w:cs="仿宋"/>
                <w:sz w:val="21"/>
              </w:rPr>
              <w:t>小数型</w:t>
            </w:r>
          </w:p>
        </w:tc>
        <w:tc>
          <w:tcPr>
            <w:tcW w:w="839" w:type="pct"/>
            <w:vAlign w:val="center"/>
          </w:tcPr>
          <w:p w14:paraId="477E996A">
            <w:pPr>
              <w:spacing w:line="480" w:lineRule="exact"/>
              <w:jc w:val="center"/>
              <w:rPr>
                <w:rFonts w:ascii="仿宋" w:hAnsi="仿宋" w:cs="仿宋"/>
                <w:sz w:val="21"/>
              </w:rPr>
            </w:pPr>
          </w:p>
        </w:tc>
        <w:tc>
          <w:tcPr>
            <w:tcW w:w="732" w:type="pct"/>
            <w:vAlign w:val="center"/>
          </w:tcPr>
          <w:p w14:paraId="5F4A17D0">
            <w:pPr>
              <w:spacing w:line="480" w:lineRule="exact"/>
              <w:jc w:val="center"/>
              <w:rPr>
                <w:rFonts w:ascii="仿宋" w:hAnsi="仿宋" w:cs="仿宋"/>
                <w:sz w:val="21"/>
              </w:rPr>
            </w:pPr>
          </w:p>
        </w:tc>
        <w:tc>
          <w:tcPr>
            <w:tcW w:w="746" w:type="pct"/>
            <w:vAlign w:val="center"/>
          </w:tcPr>
          <w:p w14:paraId="5B7D9EBA">
            <w:pPr>
              <w:spacing w:line="480" w:lineRule="exact"/>
              <w:jc w:val="center"/>
              <w:rPr>
                <w:rFonts w:ascii="仿宋" w:hAnsi="仿宋" w:cs="仿宋"/>
                <w:sz w:val="21"/>
              </w:rPr>
            </w:pPr>
            <w:r>
              <w:rPr>
                <w:rFonts w:hint="eastAsia" w:ascii="仿宋" w:hAnsi="仿宋" w:cs="仿宋"/>
                <w:sz w:val="21"/>
              </w:rPr>
              <w:t>台账</w:t>
            </w:r>
          </w:p>
        </w:tc>
      </w:tr>
      <w:tr w14:paraId="5A77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311E4ED">
            <w:pPr>
              <w:spacing w:line="360" w:lineRule="auto"/>
              <w:rPr>
                <w:rFonts w:ascii="仿宋" w:hAnsi="仿宋" w:cs="仿宋"/>
                <w:sz w:val="21"/>
              </w:rPr>
            </w:pPr>
          </w:p>
        </w:tc>
        <w:tc>
          <w:tcPr>
            <w:tcW w:w="735" w:type="pct"/>
            <w:vAlign w:val="center"/>
          </w:tcPr>
          <w:p w14:paraId="7C8ACF51">
            <w:pPr>
              <w:spacing w:line="480" w:lineRule="exact"/>
              <w:jc w:val="center"/>
              <w:rPr>
                <w:rFonts w:ascii="仿宋" w:hAnsi="仿宋" w:cs="仿宋"/>
                <w:sz w:val="21"/>
              </w:rPr>
            </w:pPr>
            <w:r>
              <w:rPr>
                <w:rFonts w:hint="eastAsia" w:ascii="仿宋" w:hAnsi="仿宋" w:cs="仿宋"/>
                <w:sz w:val="21"/>
              </w:rPr>
              <w:t>额定频率</w:t>
            </w:r>
          </w:p>
        </w:tc>
        <w:tc>
          <w:tcPr>
            <w:tcW w:w="738" w:type="pct"/>
            <w:vAlign w:val="center"/>
          </w:tcPr>
          <w:p w14:paraId="1039604C">
            <w:pPr>
              <w:spacing w:line="480" w:lineRule="exact"/>
              <w:jc w:val="center"/>
              <w:rPr>
                <w:rFonts w:ascii="仿宋" w:hAnsi="仿宋" w:cs="仿宋"/>
                <w:sz w:val="21"/>
              </w:rPr>
            </w:pPr>
            <w:r>
              <w:rPr>
                <w:rFonts w:hint="eastAsia" w:ascii="仿宋" w:hAnsi="仿宋" w:cs="仿宋"/>
                <w:sz w:val="21"/>
              </w:rPr>
              <w:t>整数型</w:t>
            </w:r>
          </w:p>
        </w:tc>
        <w:tc>
          <w:tcPr>
            <w:tcW w:w="839" w:type="pct"/>
            <w:vAlign w:val="center"/>
          </w:tcPr>
          <w:p w14:paraId="39518F9E">
            <w:pPr>
              <w:spacing w:line="480" w:lineRule="exact"/>
              <w:jc w:val="center"/>
              <w:rPr>
                <w:rFonts w:ascii="仿宋" w:hAnsi="仿宋" w:cs="仿宋"/>
                <w:sz w:val="21"/>
              </w:rPr>
            </w:pPr>
          </w:p>
        </w:tc>
        <w:tc>
          <w:tcPr>
            <w:tcW w:w="732" w:type="pct"/>
            <w:vAlign w:val="center"/>
          </w:tcPr>
          <w:p w14:paraId="5531726B">
            <w:pPr>
              <w:spacing w:line="480" w:lineRule="exact"/>
              <w:jc w:val="center"/>
              <w:rPr>
                <w:rFonts w:ascii="仿宋" w:hAnsi="仿宋" w:cs="仿宋"/>
                <w:sz w:val="21"/>
              </w:rPr>
            </w:pPr>
            <w:r>
              <w:rPr>
                <w:rFonts w:hint="eastAsia" w:ascii="仿宋" w:hAnsi="仿宋" w:cs="仿宋"/>
                <w:sz w:val="21"/>
              </w:rPr>
              <w:t>Hz</w:t>
            </w:r>
          </w:p>
        </w:tc>
        <w:tc>
          <w:tcPr>
            <w:tcW w:w="746" w:type="pct"/>
            <w:vAlign w:val="center"/>
          </w:tcPr>
          <w:p w14:paraId="127DCB83">
            <w:pPr>
              <w:spacing w:line="480" w:lineRule="exact"/>
              <w:jc w:val="center"/>
              <w:rPr>
                <w:rFonts w:ascii="仿宋" w:hAnsi="仿宋" w:cs="仿宋"/>
                <w:sz w:val="21"/>
              </w:rPr>
            </w:pPr>
            <w:r>
              <w:rPr>
                <w:rFonts w:hint="eastAsia" w:ascii="仿宋" w:hAnsi="仿宋" w:cs="仿宋"/>
                <w:sz w:val="21"/>
              </w:rPr>
              <w:t>自定义</w:t>
            </w:r>
          </w:p>
        </w:tc>
      </w:tr>
      <w:tr w14:paraId="2020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2F1E9870">
            <w:pPr>
              <w:spacing w:line="360" w:lineRule="auto"/>
              <w:rPr>
                <w:rFonts w:ascii="仿宋" w:hAnsi="仿宋" w:cs="仿宋"/>
                <w:sz w:val="21"/>
              </w:rPr>
            </w:pPr>
          </w:p>
        </w:tc>
        <w:tc>
          <w:tcPr>
            <w:tcW w:w="735" w:type="pct"/>
            <w:vAlign w:val="center"/>
          </w:tcPr>
          <w:p w14:paraId="3CE0B503">
            <w:pPr>
              <w:spacing w:line="480" w:lineRule="exact"/>
              <w:jc w:val="center"/>
              <w:rPr>
                <w:rFonts w:ascii="仿宋" w:hAnsi="仿宋" w:cs="仿宋"/>
                <w:sz w:val="21"/>
              </w:rPr>
            </w:pPr>
            <w:r>
              <w:rPr>
                <w:rFonts w:hint="eastAsia" w:ascii="仿宋" w:hAnsi="仿宋" w:cs="仿宋"/>
                <w:sz w:val="21"/>
              </w:rPr>
              <w:t>SN</w:t>
            </w:r>
          </w:p>
        </w:tc>
        <w:tc>
          <w:tcPr>
            <w:tcW w:w="738" w:type="pct"/>
            <w:vAlign w:val="center"/>
          </w:tcPr>
          <w:p w14:paraId="5B939099">
            <w:pPr>
              <w:spacing w:line="480" w:lineRule="exact"/>
              <w:jc w:val="center"/>
              <w:rPr>
                <w:rFonts w:ascii="仿宋" w:hAnsi="仿宋" w:cs="仿宋"/>
                <w:sz w:val="21"/>
              </w:rPr>
            </w:pPr>
            <w:r>
              <w:rPr>
                <w:rFonts w:hint="eastAsia" w:ascii="仿宋" w:hAnsi="仿宋" w:cs="仿宋"/>
                <w:sz w:val="21"/>
              </w:rPr>
              <w:t>字符型</w:t>
            </w:r>
          </w:p>
        </w:tc>
        <w:tc>
          <w:tcPr>
            <w:tcW w:w="839" w:type="pct"/>
            <w:vAlign w:val="center"/>
          </w:tcPr>
          <w:p w14:paraId="3FE7CD58">
            <w:pPr>
              <w:spacing w:line="480" w:lineRule="exact"/>
              <w:jc w:val="center"/>
              <w:rPr>
                <w:rFonts w:ascii="仿宋" w:hAnsi="仿宋" w:cs="仿宋"/>
                <w:sz w:val="21"/>
              </w:rPr>
            </w:pPr>
          </w:p>
        </w:tc>
        <w:tc>
          <w:tcPr>
            <w:tcW w:w="732" w:type="pct"/>
            <w:vAlign w:val="center"/>
          </w:tcPr>
          <w:p w14:paraId="4CF81596">
            <w:pPr>
              <w:spacing w:line="480" w:lineRule="exact"/>
              <w:jc w:val="center"/>
              <w:rPr>
                <w:rFonts w:ascii="仿宋" w:hAnsi="仿宋" w:cs="仿宋"/>
                <w:sz w:val="21"/>
              </w:rPr>
            </w:pPr>
          </w:p>
        </w:tc>
        <w:tc>
          <w:tcPr>
            <w:tcW w:w="746" w:type="pct"/>
            <w:vAlign w:val="center"/>
          </w:tcPr>
          <w:p w14:paraId="79DB8D08">
            <w:pPr>
              <w:spacing w:line="480" w:lineRule="exact"/>
              <w:jc w:val="center"/>
              <w:rPr>
                <w:rFonts w:ascii="仿宋" w:hAnsi="仿宋" w:cs="仿宋"/>
                <w:sz w:val="21"/>
              </w:rPr>
            </w:pPr>
            <w:r>
              <w:rPr>
                <w:rFonts w:hint="eastAsia" w:ascii="仿宋" w:hAnsi="仿宋" w:cs="仿宋"/>
                <w:sz w:val="21"/>
              </w:rPr>
              <w:t>自定义</w:t>
            </w:r>
          </w:p>
        </w:tc>
      </w:tr>
      <w:tr w14:paraId="37B1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restart"/>
            <w:vAlign w:val="center"/>
          </w:tcPr>
          <w:p w14:paraId="535AAAE1">
            <w:pPr>
              <w:spacing w:line="360" w:lineRule="auto"/>
              <w:jc w:val="both"/>
              <w:rPr>
                <w:rFonts w:ascii="仿宋" w:hAnsi="仿宋" w:cs="仿宋"/>
                <w:sz w:val="21"/>
              </w:rPr>
            </w:pPr>
            <w:r>
              <w:rPr>
                <w:rFonts w:hint="eastAsia" w:ascii="仿宋" w:hAnsi="仿宋" w:cs="仿宋"/>
                <w:sz w:val="21"/>
              </w:rPr>
              <w:t>模型属性</w:t>
            </w:r>
          </w:p>
        </w:tc>
        <w:tc>
          <w:tcPr>
            <w:tcW w:w="735" w:type="pct"/>
            <w:shd w:val="clear" w:color="auto" w:fill="C3BD96" w:themeFill="background2" w:themeFillShade="BF"/>
            <w:vAlign w:val="center"/>
          </w:tcPr>
          <w:p w14:paraId="523D5807">
            <w:pPr>
              <w:spacing w:line="480" w:lineRule="exact"/>
              <w:jc w:val="center"/>
              <w:rPr>
                <w:rFonts w:ascii="仿宋" w:hAnsi="仿宋" w:cs="仿宋"/>
                <w:sz w:val="21"/>
              </w:rPr>
            </w:pPr>
            <w:r>
              <w:rPr>
                <w:rFonts w:hint="eastAsia" w:ascii="仿宋" w:hAnsi="仿宋" w:cs="仿宋"/>
                <w:sz w:val="21"/>
              </w:rPr>
              <w:t>标识</w:t>
            </w:r>
          </w:p>
        </w:tc>
        <w:tc>
          <w:tcPr>
            <w:tcW w:w="738" w:type="pct"/>
            <w:shd w:val="clear" w:color="auto" w:fill="C3BD96" w:themeFill="background2" w:themeFillShade="BF"/>
            <w:vAlign w:val="center"/>
          </w:tcPr>
          <w:p w14:paraId="0372DE18">
            <w:pPr>
              <w:spacing w:line="480" w:lineRule="exact"/>
              <w:jc w:val="center"/>
              <w:rPr>
                <w:rFonts w:ascii="仿宋" w:hAnsi="仿宋" w:cs="仿宋"/>
                <w:sz w:val="21"/>
              </w:rPr>
            </w:pPr>
            <w:r>
              <w:rPr>
                <w:rFonts w:hint="eastAsia" w:ascii="仿宋" w:hAnsi="仿宋" w:cs="仿宋"/>
                <w:sz w:val="21"/>
              </w:rPr>
              <w:t>名称</w:t>
            </w:r>
          </w:p>
        </w:tc>
        <w:tc>
          <w:tcPr>
            <w:tcW w:w="839" w:type="pct"/>
            <w:shd w:val="clear" w:color="auto" w:fill="C3BD96" w:themeFill="background2" w:themeFillShade="BF"/>
            <w:vAlign w:val="center"/>
          </w:tcPr>
          <w:p w14:paraId="34962004">
            <w:pPr>
              <w:spacing w:line="480" w:lineRule="exact"/>
              <w:jc w:val="center"/>
              <w:rPr>
                <w:rFonts w:ascii="仿宋" w:hAnsi="仿宋" w:cs="仿宋"/>
                <w:sz w:val="21"/>
              </w:rPr>
            </w:pPr>
            <w:r>
              <w:rPr>
                <w:rFonts w:hint="eastAsia" w:ascii="仿宋" w:hAnsi="仿宋" w:cs="仿宋"/>
                <w:sz w:val="21"/>
              </w:rPr>
              <w:t>属性类型</w:t>
            </w:r>
          </w:p>
        </w:tc>
        <w:tc>
          <w:tcPr>
            <w:tcW w:w="732" w:type="pct"/>
            <w:shd w:val="clear" w:color="auto" w:fill="C3BD96" w:themeFill="background2" w:themeFillShade="BF"/>
            <w:vAlign w:val="center"/>
          </w:tcPr>
          <w:p w14:paraId="72D2C163">
            <w:pPr>
              <w:spacing w:line="480" w:lineRule="exact"/>
              <w:jc w:val="center"/>
              <w:rPr>
                <w:rFonts w:ascii="仿宋" w:hAnsi="仿宋" w:cs="仿宋"/>
                <w:sz w:val="21"/>
              </w:rPr>
            </w:pPr>
            <w:r>
              <w:rPr>
                <w:rFonts w:hint="eastAsia" w:ascii="仿宋" w:hAnsi="仿宋" w:cs="仿宋"/>
                <w:sz w:val="21"/>
              </w:rPr>
              <w:t>访问权限</w:t>
            </w:r>
          </w:p>
        </w:tc>
        <w:tc>
          <w:tcPr>
            <w:tcW w:w="746" w:type="pct"/>
            <w:shd w:val="clear" w:color="auto" w:fill="C3BD96" w:themeFill="background2" w:themeFillShade="BF"/>
            <w:vAlign w:val="center"/>
          </w:tcPr>
          <w:p w14:paraId="76DB57CC">
            <w:pPr>
              <w:spacing w:line="480" w:lineRule="exact"/>
              <w:jc w:val="center"/>
              <w:rPr>
                <w:rFonts w:ascii="仿宋" w:hAnsi="仿宋" w:cs="仿宋"/>
                <w:sz w:val="21"/>
              </w:rPr>
            </w:pPr>
            <w:r>
              <w:rPr>
                <w:rFonts w:hint="eastAsia" w:ascii="仿宋" w:hAnsi="仿宋" w:cs="仿宋"/>
                <w:sz w:val="21"/>
              </w:rPr>
              <w:t>数据类型</w:t>
            </w:r>
          </w:p>
        </w:tc>
      </w:tr>
      <w:tr w14:paraId="0469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08" w:type="pct"/>
            <w:vMerge w:val="continue"/>
            <w:vAlign w:val="center"/>
          </w:tcPr>
          <w:p w14:paraId="28A0D8BB">
            <w:pPr>
              <w:spacing w:line="360" w:lineRule="auto"/>
              <w:rPr>
                <w:rFonts w:ascii="仿宋" w:hAnsi="仿宋" w:cs="仿宋"/>
                <w:sz w:val="21"/>
              </w:rPr>
            </w:pPr>
          </w:p>
        </w:tc>
        <w:tc>
          <w:tcPr>
            <w:tcW w:w="735" w:type="pct"/>
            <w:vAlign w:val="center"/>
          </w:tcPr>
          <w:p w14:paraId="6946D7A9">
            <w:pPr>
              <w:spacing w:line="480" w:lineRule="exact"/>
              <w:jc w:val="center"/>
              <w:rPr>
                <w:rFonts w:ascii="仿宋" w:hAnsi="仿宋" w:cs="仿宋"/>
                <w:sz w:val="21"/>
              </w:rPr>
            </w:pPr>
            <w:r>
              <w:rPr>
                <w:rFonts w:hint="eastAsia" w:ascii="仿宋" w:hAnsi="仿宋" w:cs="仿宋"/>
                <w:sz w:val="21"/>
              </w:rPr>
              <w:t>T1</w:t>
            </w:r>
          </w:p>
        </w:tc>
        <w:tc>
          <w:tcPr>
            <w:tcW w:w="738" w:type="pct"/>
            <w:vAlign w:val="center"/>
          </w:tcPr>
          <w:p w14:paraId="29642A8A">
            <w:pPr>
              <w:spacing w:line="480" w:lineRule="exact"/>
              <w:jc w:val="center"/>
              <w:rPr>
                <w:rFonts w:ascii="仿宋" w:hAnsi="仿宋" w:cs="仿宋"/>
                <w:sz w:val="21"/>
              </w:rPr>
            </w:pPr>
            <w:r>
              <w:rPr>
                <w:rFonts w:hint="eastAsia" w:ascii="仿宋" w:hAnsi="仿宋" w:cs="仿宋"/>
                <w:sz w:val="21"/>
              </w:rPr>
              <w:t>温度</w:t>
            </w:r>
          </w:p>
        </w:tc>
        <w:tc>
          <w:tcPr>
            <w:tcW w:w="839" w:type="pct"/>
            <w:vAlign w:val="center"/>
          </w:tcPr>
          <w:p w14:paraId="1F23C450">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08DA083">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30D87AE">
            <w:pPr>
              <w:jc w:val="center"/>
              <w:textAlignment w:val="bottom"/>
              <w:rPr>
                <w:rFonts w:ascii="仿宋" w:hAnsi="仿宋" w:cs="仿宋"/>
                <w:sz w:val="21"/>
              </w:rPr>
            </w:pPr>
            <w:r>
              <w:rPr>
                <w:rFonts w:hint="eastAsia" w:ascii="仿宋" w:hAnsi="仿宋" w:cs="仿宋"/>
                <w:sz w:val="21"/>
              </w:rPr>
              <w:t>小数型</w:t>
            </w:r>
          </w:p>
        </w:tc>
      </w:tr>
      <w:tr w14:paraId="04D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42EC192">
            <w:pPr>
              <w:spacing w:line="360" w:lineRule="auto"/>
              <w:rPr>
                <w:rFonts w:ascii="仿宋" w:hAnsi="仿宋" w:cs="仿宋"/>
                <w:sz w:val="21"/>
              </w:rPr>
            </w:pPr>
          </w:p>
        </w:tc>
        <w:tc>
          <w:tcPr>
            <w:tcW w:w="735" w:type="pct"/>
            <w:vAlign w:val="center"/>
          </w:tcPr>
          <w:p w14:paraId="17C2C2ED">
            <w:pPr>
              <w:spacing w:line="480" w:lineRule="exact"/>
              <w:jc w:val="center"/>
              <w:rPr>
                <w:rFonts w:ascii="仿宋" w:hAnsi="仿宋" w:cs="仿宋"/>
                <w:sz w:val="21"/>
              </w:rPr>
            </w:pPr>
            <w:r>
              <w:rPr>
                <w:rFonts w:hint="eastAsia" w:ascii="仿宋" w:hAnsi="仿宋" w:cs="仿宋"/>
                <w:sz w:val="21"/>
              </w:rPr>
              <w:t>T2</w:t>
            </w:r>
          </w:p>
        </w:tc>
        <w:tc>
          <w:tcPr>
            <w:tcW w:w="738" w:type="pct"/>
            <w:vAlign w:val="center"/>
          </w:tcPr>
          <w:p w14:paraId="2E05F1DA">
            <w:pPr>
              <w:spacing w:line="480" w:lineRule="exact"/>
              <w:jc w:val="center"/>
              <w:rPr>
                <w:rFonts w:ascii="仿宋" w:hAnsi="仿宋" w:cs="仿宋"/>
                <w:sz w:val="21"/>
              </w:rPr>
            </w:pPr>
            <w:r>
              <w:rPr>
                <w:rFonts w:hint="eastAsia" w:ascii="仿宋" w:hAnsi="仿宋" w:cs="仿宋"/>
                <w:sz w:val="21"/>
              </w:rPr>
              <w:t>压力</w:t>
            </w:r>
          </w:p>
        </w:tc>
        <w:tc>
          <w:tcPr>
            <w:tcW w:w="839" w:type="pct"/>
            <w:vAlign w:val="center"/>
          </w:tcPr>
          <w:p w14:paraId="737E85A0">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9A0EB97">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D8802AD">
            <w:pPr>
              <w:jc w:val="center"/>
              <w:textAlignment w:val="bottom"/>
              <w:rPr>
                <w:rFonts w:ascii="仿宋" w:hAnsi="仿宋" w:cs="仿宋"/>
                <w:sz w:val="21"/>
              </w:rPr>
            </w:pPr>
            <w:r>
              <w:rPr>
                <w:rFonts w:hint="eastAsia" w:ascii="仿宋" w:hAnsi="仿宋" w:cs="仿宋"/>
                <w:sz w:val="21"/>
              </w:rPr>
              <w:t>小数型</w:t>
            </w:r>
          </w:p>
        </w:tc>
      </w:tr>
      <w:tr w14:paraId="076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1599EE5">
            <w:pPr>
              <w:spacing w:line="360" w:lineRule="auto"/>
              <w:rPr>
                <w:rFonts w:ascii="仿宋" w:hAnsi="仿宋" w:cs="仿宋"/>
                <w:sz w:val="21"/>
              </w:rPr>
            </w:pPr>
          </w:p>
        </w:tc>
        <w:tc>
          <w:tcPr>
            <w:tcW w:w="735" w:type="pct"/>
            <w:vAlign w:val="center"/>
          </w:tcPr>
          <w:p w14:paraId="1A4B8C9B">
            <w:pPr>
              <w:spacing w:line="480" w:lineRule="exact"/>
              <w:jc w:val="center"/>
              <w:rPr>
                <w:rFonts w:ascii="仿宋" w:hAnsi="仿宋" w:cs="仿宋"/>
                <w:sz w:val="21"/>
              </w:rPr>
            </w:pPr>
            <w:r>
              <w:rPr>
                <w:rFonts w:hint="eastAsia" w:ascii="仿宋" w:hAnsi="仿宋" w:cs="仿宋"/>
                <w:sz w:val="21"/>
              </w:rPr>
              <w:t>T3</w:t>
            </w:r>
          </w:p>
        </w:tc>
        <w:tc>
          <w:tcPr>
            <w:tcW w:w="738" w:type="pct"/>
            <w:vAlign w:val="center"/>
          </w:tcPr>
          <w:p w14:paraId="594EFC23">
            <w:pPr>
              <w:spacing w:line="480" w:lineRule="exact"/>
              <w:jc w:val="center"/>
              <w:rPr>
                <w:rFonts w:ascii="仿宋" w:hAnsi="仿宋" w:cs="仿宋"/>
                <w:sz w:val="21"/>
              </w:rPr>
            </w:pPr>
            <w:r>
              <w:rPr>
                <w:rFonts w:hint="eastAsia" w:ascii="仿宋" w:hAnsi="仿宋" w:cs="仿宋"/>
                <w:sz w:val="21"/>
              </w:rPr>
              <w:t>流量</w:t>
            </w:r>
          </w:p>
        </w:tc>
        <w:tc>
          <w:tcPr>
            <w:tcW w:w="839" w:type="pct"/>
            <w:vAlign w:val="center"/>
          </w:tcPr>
          <w:p w14:paraId="4A48EC83">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CE22D46">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949AE07">
            <w:pPr>
              <w:jc w:val="center"/>
              <w:textAlignment w:val="bottom"/>
              <w:rPr>
                <w:rFonts w:ascii="仿宋" w:hAnsi="仿宋" w:cs="仿宋"/>
                <w:sz w:val="21"/>
              </w:rPr>
            </w:pPr>
            <w:r>
              <w:rPr>
                <w:rFonts w:hint="eastAsia" w:ascii="仿宋" w:hAnsi="仿宋" w:cs="仿宋"/>
                <w:sz w:val="21"/>
              </w:rPr>
              <w:t>小数型</w:t>
            </w:r>
          </w:p>
        </w:tc>
      </w:tr>
      <w:tr w14:paraId="10B4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5E35B58">
            <w:pPr>
              <w:spacing w:line="360" w:lineRule="auto"/>
              <w:rPr>
                <w:rFonts w:ascii="仿宋" w:hAnsi="仿宋" w:cs="仿宋"/>
                <w:sz w:val="21"/>
              </w:rPr>
            </w:pPr>
          </w:p>
        </w:tc>
        <w:tc>
          <w:tcPr>
            <w:tcW w:w="735" w:type="pct"/>
            <w:vAlign w:val="center"/>
          </w:tcPr>
          <w:p w14:paraId="7181903C">
            <w:pPr>
              <w:spacing w:line="480" w:lineRule="exact"/>
              <w:jc w:val="center"/>
              <w:rPr>
                <w:rFonts w:ascii="仿宋" w:hAnsi="仿宋" w:cs="仿宋"/>
                <w:sz w:val="21"/>
              </w:rPr>
            </w:pPr>
            <w:r>
              <w:rPr>
                <w:rFonts w:hint="eastAsia" w:ascii="仿宋" w:hAnsi="仿宋" w:cs="仿宋"/>
                <w:sz w:val="21"/>
              </w:rPr>
              <w:t>T4</w:t>
            </w:r>
          </w:p>
        </w:tc>
        <w:tc>
          <w:tcPr>
            <w:tcW w:w="738" w:type="pct"/>
            <w:vAlign w:val="center"/>
          </w:tcPr>
          <w:p w14:paraId="65153632">
            <w:pPr>
              <w:spacing w:line="480" w:lineRule="exact"/>
              <w:jc w:val="center"/>
              <w:rPr>
                <w:rFonts w:ascii="仿宋" w:hAnsi="仿宋" w:cs="仿宋"/>
                <w:sz w:val="21"/>
              </w:rPr>
            </w:pPr>
            <w:r>
              <w:rPr>
                <w:rFonts w:hint="eastAsia" w:ascii="仿宋" w:hAnsi="仿宋" w:cs="仿宋"/>
                <w:sz w:val="21"/>
              </w:rPr>
              <w:t>水质</w:t>
            </w:r>
          </w:p>
        </w:tc>
        <w:tc>
          <w:tcPr>
            <w:tcW w:w="839" w:type="pct"/>
            <w:vAlign w:val="center"/>
          </w:tcPr>
          <w:p w14:paraId="5E317E4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C1B3E42">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ECF3D7F">
            <w:pPr>
              <w:jc w:val="center"/>
              <w:textAlignment w:val="bottom"/>
              <w:rPr>
                <w:rFonts w:ascii="仿宋" w:hAnsi="仿宋" w:cs="仿宋"/>
                <w:sz w:val="21"/>
              </w:rPr>
            </w:pPr>
            <w:r>
              <w:rPr>
                <w:rFonts w:hint="eastAsia" w:ascii="仿宋" w:hAnsi="仿宋" w:cs="仿宋"/>
                <w:sz w:val="21"/>
              </w:rPr>
              <w:t>小数型</w:t>
            </w:r>
          </w:p>
        </w:tc>
      </w:tr>
      <w:tr w14:paraId="007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658E3176">
            <w:pPr>
              <w:spacing w:line="360" w:lineRule="auto"/>
              <w:rPr>
                <w:rFonts w:ascii="仿宋" w:hAnsi="仿宋" w:cs="仿宋"/>
                <w:sz w:val="21"/>
              </w:rPr>
            </w:pPr>
          </w:p>
        </w:tc>
        <w:tc>
          <w:tcPr>
            <w:tcW w:w="735" w:type="pct"/>
            <w:vAlign w:val="center"/>
          </w:tcPr>
          <w:p w14:paraId="64946FF3">
            <w:pPr>
              <w:spacing w:line="480" w:lineRule="exact"/>
              <w:jc w:val="center"/>
              <w:rPr>
                <w:rFonts w:ascii="仿宋" w:hAnsi="仿宋" w:cs="仿宋"/>
                <w:sz w:val="21"/>
              </w:rPr>
            </w:pPr>
            <w:r>
              <w:rPr>
                <w:rFonts w:hint="eastAsia" w:ascii="仿宋" w:hAnsi="仿宋" w:cs="仿宋"/>
                <w:sz w:val="21"/>
              </w:rPr>
              <w:t>T5</w:t>
            </w:r>
          </w:p>
        </w:tc>
        <w:tc>
          <w:tcPr>
            <w:tcW w:w="738" w:type="pct"/>
            <w:vAlign w:val="center"/>
          </w:tcPr>
          <w:p w14:paraId="15EEEB08">
            <w:pPr>
              <w:spacing w:line="480" w:lineRule="exact"/>
              <w:jc w:val="center"/>
              <w:rPr>
                <w:rFonts w:ascii="仿宋" w:hAnsi="仿宋" w:cs="仿宋"/>
                <w:sz w:val="21"/>
              </w:rPr>
            </w:pPr>
            <w:r>
              <w:rPr>
                <w:rFonts w:hint="eastAsia" w:ascii="仿宋" w:hAnsi="仿宋" w:cs="仿宋"/>
                <w:sz w:val="21"/>
              </w:rPr>
              <w:t>PH</w:t>
            </w:r>
          </w:p>
        </w:tc>
        <w:tc>
          <w:tcPr>
            <w:tcW w:w="839" w:type="pct"/>
            <w:vAlign w:val="center"/>
          </w:tcPr>
          <w:p w14:paraId="0D4990A9">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83AACF3">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225DF5B4">
            <w:pPr>
              <w:jc w:val="center"/>
              <w:textAlignment w:val="bottom"/>
              <w:rPr>
                <w:rFonts w:ascii="仿宋" w:hAnsi="仿宋" w:cs="仿宋"/>
                <w:sz w:val="21"/>
              </w:rPr>
            </w:pPr>
            <w:r>
              <w:rPr>
                <w:rFonts w:hint="eastAsia" w:ascii="仿宋" w:hAnsi="仿宋" w:cs="仿宋"/>
                <w:sz w:val="21"/>
              </w:rPr>
              <w:t>小数型</w:t>
            </w:r>
          </w:p>
        </w:tc>
      </w:tr>
      <w:tr w14:paraId="4402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DD4A410">
            <w:pPr>
              <w:spacing w:line="360" w:lineRule="auto"/>
              <w:rPr>
                <w:rFonts w:ascii="仿宋" w:hAnsi="仿宋" w:cs="仿宋"/>
                <w:sz w:val="21"/>
              </w:rPr>
            </w:pPr>
          </w:p>
        </w:tc>
        <w:tc>
          <w:tcPr>
            <w:tcW w:w="735" w:type="pct"/>
            <w:vAlign w:val="center"/>
          </w:tcPr>
          <w:p w14:paraId="73AA5368">
            <w:pPr>
              <w:spacing w:line="480" w:lineRule="exact"/>
              <w:jc w:val="center"/>
              <w:rPr>
                <w:rFonts w:ascii="仿宋" w:hAnsi="仿宋" w:cs="仿宋"/>
                <w:sz w:val="21"/>
              </w:rPr>
            </w:pPr>
            <w:r>
              <w:rPr>
                <w:rFonts w:hint="eastAsia" w:ascii="仿宋" w:hAnsi="仿宋" w:cs="仿宋"/>
                <w:sz w:val="21"/>
              </w:rPr>
              <w:t>T6</w:t>
            </w:r>
          </w:p>
        </w:tc>
        <w:tc>
          <w:tcPr>
            <w:tcW w:w="738" w:type="pct"/>
            <w:vAlign w:val="center"/>
          </w:tcPr>
          <w:p w14:paraId="573E7687">
            <w:pPr>
              <w:spacing w:line="480" w:lineRule="exact"/>
              <w:jc w:val="center"/>
              <w:rPr>
                <w:rFonts w:ascii="仿宋" w:hAnsi="仿宋" w:cs="仿宋"/>
                <w:sz w:val="21"/>
              </w:rPr>
            </w:pPr>
            <w:r>
              <w:rPr>
                <w:rFonts w:hint="eastAsia" w:ascii="仿宋" w:hAnsi="仿宋" w:cs="仿宋"/>
                <w:sz w:val="21"/>
              </w:rPr>
              <w:t>溶解氧</w:t>
            </w:r>
          </w:p>
        </w:tc>
        <w:tc>
          <w:tcPr>
            <w:tcW w:w="839" w:type="pct"/>
            <w:vAlign w:val="center"/>
          </w:tcPr>
          <w:p w14:paraId="3877F844">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303981F">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0C5F99E5">
            <w:pPr>
              <w:jc w:val="center"/>
              <w:textAlignment w:val="bottom"/>
              <w:rPr>
                <w:rFonts w:ascii="仿宋" w:hAnsi="仿宋" w:cs="仿宋"/>
                <w:sz w:val="21"/>
              </w:rPr>
            </w:pPr>
            <w:r>
              <w:rPr>
                <w:rFonts w:hint="eastAsia" w:ascii="仿宋" w:hAnsi="仿宋" w:cs="仿宋"/>
                <w:sz w:val="21"/>
              </w:rPr>
              <w:t>小数型</w:t>
            </w:r>
          </w:p>
        </w:tc>
      </w:tr>
      <w:tr w14:paraId="77D6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4D5A10C9">
            <w:pPr>
              <w:spacing w:line="360" w:lineRule="auto"/>
              <w:rPr>
                <w:rFonts w:ascii="仿宋" w:hAnsi="仿宋" w:cs="仿宋"/>
                <w:sz w:val="21"/>
              </w:rPr>
            </w:pPr>
          </w:p>
        </w:tc>
        <w:tc>
          <w:tcPr>
            <w:tcW w:w="735" w:type="pct"/>
            <w:vAlign w:val="center"/>
          </w:tcPr>
          <w:p w14:paraId="2B51611C">
            <w:pPr>
              <w:spacing w:line="480" w:lineRule="exact"/>
              <w:jc w:val="center"/>
              <w:rPr>
                <w:rFonts w:ascii="仿宋" w:hAnsi="仿宋" w:cs="仿宋"/>
                <w:sz w:val="21"/>
              </w:rPr>
            </w:pPr>
            <w:r>
              <w:rPr>
                <w:rFonts w:hint="eastAsia" w:ascii="仿宋" w:hAnsi="仿宋" w:cs="仿宋"/>
                <w:sz w:val="21"/>
              </w:rPr>
              <w:t>T7</w:t>
            </w:r>
          </w:p>
        </w:tc>
        <w:tc>
          <w:tcPr>
            <w:tcW w:w="738" w:type="pct"/>
            <w:vAlign w:val="center"/>
          </w:tcPr>
          <w:p w14:paraId="19A99284">
            <w:pPr>
              <w:spacing w:line="480" w:lineRule="exact"/>
              <w:jc w:val="center"/>
              <w:rPr>
                <w:rFonts w:ascii="仿宋" w:hAnsi="仿宋" w:cs="仿宋"/>
                <w:sz w:val="21"/>
              </w:rPr>
            </w:pPr>
            <w:r>
              <w:rPr>
                <w:rFonts w:hint="eastAsia" w:ascii="仿宋" w:hAnsi="仿宋" w:cs="仿宋"/>
                <w:sz w:val="21"/>
              </w:rPr>
              <w:t>电导率</w:t>
            </w:r>
          </w:p>
        </w:tc>
        <w:tc>
          <w:tcPr>
            <w:tcW w:w="839" w:type="pct"/>
            <w:vAlign w:val="center"/>
          </w:tcPr>
          <w:p w14:paraId="3A65066E">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B569D70">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B4289D9">
            <w:pPr>
              <w:jc w:val="center"/>
              <w:textAlignment w:val="bottom"/>
              <w:rPr>
                <w:rFonts w:ascii="仿宋" w:hAnsi="仿宋" w:cs="仿宋"/>
                <w:sz w:val="21"/>
              </w:rPr>
            </w:pPr>
            <w:r>
              <w:rPr>
                <w:rFonts w:hint="eastAsia" w:ascii="仿宋" w:hAnsi="仿宋" w:cs="仿宋"/>
                <w:sz w:val="21"/>
              </w:rPr>
              <w:t>小数型</w:t>
            </w:r>
          </w:p>
        </w:tc>
      </w:tr>
      <w:tr w14:paraId="5057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252480CA">
            <w:pPr>
              <w:spacing w:line="360" w:lineRule="auto"/>
              <w:rPr>
                <w:rFonts w:ascii="仿宋" w:hAnsi="仿宋" w:cs="仿宋"/>
                <w:sz w:val="21"/>
              </w:rPr>
            </w:pPr>
          </w:p>
        </w:tc>
        <w:tc>
          <w:tcPr>
            <w:tcW w:w="735" w:type="pct"/>
            <w:vAlign w:val="center"/>
          </w:tcPr>
          <w:p w14:paraId="2FDFCEEB">
            <w:pPr>
              <w:spacing w:line="480" w:lineRule="exact"/>
              <w:jc w:val="center"/>
              <w:rPr>
                <w:rFonts w:ascii="仿宋" w:hAnsi="仿宋" w:cs="仿宋"/>
                <w:sz w:val="21"/>
              </w:rPr>
            </w:pPr>
            <w:r>
              <w:rPr>
                <w:rFonts w:hint="eastAsia" w:ascii="仿宋" w:hAnsi="仿宋" w:cs="仿宋"/>
                <w:sz w:val="21"/>
              </w:rPr>
              <w:t>T8</w:t>
            </w:r>
          </w:p>
        </w:tc>
        <w:tc>
          <w:tcPr>
            <w:tcW w:w="738" w:type="pct"/>
            <w:vAlign w:val="center"/>
          </w:tcPr>
          <w:p w14:paraId="3ADA424E">
            <w:pPr>
              <w:spacing w:line="480" w:lineRule="exact"/>
              <w:jc w:val="center"/>
              <w:rPr>
                <w:rFonts w:ascii="仿宋" w:hAnsi="仿宋" w:cs="仿宋"/>
                <w:sz w:val="21"/>
              </w:rPr>
            </w:pPr>
            <w:r>
              <w:rPr>
                <w:rFonts w:hint="eastAsia" w:ascii="仿宋" w:hAnsi="仿宋" w:cs="仿宋"/>
                <w:sz w:val="21"/>
              </w:rPr>
              <w:t>浊度</w:t>
            </w:r>
          </w:p>
        </w:tc>
        <w:tc>
          <w:tcPr>
            <w:tcW w:w="839" w:type="pct"/>
            <w:vAlign w:val="center"/>
          </w:tcPr>
          <w:p w14:paraId="7AD6690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62704268">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C610389">
            <w:pPr>
              <w:jc w:val="center"/>
              <w:textAlignment w:val="bottom"/>
              <w:rPr>
                <w:rFonts w:ascii="仿宋" w:hAnsi="仿宋" w:cs="仿宋"/>
                <w:sz w:val="21"/>
              </w:rPr>
            </w:pPr>
            <w:r>
              <w:rPr>
                <w:rFonts w:hint="eastAsia" w:ascii="仿宋" w:hAnsi="仿宋" w:cs="仿宋"/>
                <w:sz w:val="21"/>
              </w:rPr>
              <w:t>小数型</w:t>
            </w:r>
          </w:p>
        </w:tc>
      </w:tr>
      <w:tr w14:paraId="7C1E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F99891B">
            <w:pPr>
              <w:spacing w:line="360" w:lineRule="auto"/>
              <w:rPr>
                <w:rFonts w:ascii="仿宋" w:hAnsi="仿宋" w:cs="仿宋"/>
                <w:sz w:val="21"/>
              </w:rPr>
            </w:pPr>
          </w:p>
        </w:tc>
        <w:tc>
          <w:tcPr>
            <w:tcW w:w="735" w:type="pct"/>
            <w:vAlign w:val="center"/>
          </w:tcPr>
          <w:p w14:paraId="35E88A35">
            <w:pPr>
              <w:spacing w:line="480" w:lineRule="exact"/>
              <w:jc w:val="center"/>
              <w:rPr>
                <w:rFonts w:ascii="仿宋" w:hAnsi="仿宋" w:cs="仿宋"/>
                <w:sz w:val="21"/>
              </w:rPr>
            </w:pPr>
            <w:r>
              <w:rPr>
                <w:rFonts w:hint="eastAsia" w:ascii="仿宋" w:hAnsi="仿宋" w:cs="仿宋"/>
                <w:sz w:val="21"/>
              </w:rPr>
              <w:t>T9</w:t>
            </w:r>
          </w:p>
        </w:tc>
        <w:tc>
          <w:tcPr>
            <w:tcW w:w="738" w:type="pct"/>
            <w:vAlign w:val="center"/>
          </w:tcPr>
          <w:p w14:paraId="17D1871F">
            <w:pPr>
              <w:spacing w:line="480" w:lineRule="exact"/>
              <w:jc w:val="center"/>
              <w:rPr>
                <w:rFonts w:ascii="仿宋" w:hAnsi="仿宋" w:cs="仿宋"/>
                <w:sz w:val="21"/>
              </w:rPr>
            </w:pPr>
            <w:r>
              <w:rPr>
                <w:rFonts w:hint="eastAsia" w:ascii="仿宋" w:hAnsi="仿宋" w:cs="仿宋"/>
                <w:sz w:val="21"/>
              </w:rPr>
              <w:t>氨氮</w:t>
            </w:r>
          </w:p>
        </w:tc>
        <w:tc>
          <w:tcPr>
            <w:tcW w:w="839" w:type="pct"/>
            <w:vAlign w:val="center"/>
          </w:tcPr>
          <w:p w14:paraId="08C42FBB">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504B065">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A806CBD">
            <w:pPr>
              <w:jc w:val="center"/>
              <w:textAlignment w:val="bottom"/>
              <w:rPr>
                <w:rFonts w:ascii="仿宋" w:hAnsi="仿宋" w:cs="仿宋"/>
                <w:sz w:val="21"/>
              </w:rPr>
            </w:pPr>
            <w:r>
              <w:rPr>
                <w:rFonts w:hint="eastAsia" w:ascii="仿宋" w:hAnsi="仿宋" w:cs="仿宋"/>
                <w:sz w:val="21"/>
              </w:rPr>
              <w:t>小数型</w:t>
            </w:r>
          </w:p>
        </w:tc>
      </w:tr>
      <w:tr w14:paraId="4EA6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3D03A88">
            <w:pPr>
              <w:spacing w:line="360" w:lineRule="auto"/>
              <w:rPr>
                <w:rFonts w:ascii="仿宋" w:hAnsi="仿宋" w:cs="仿宋"/>
                <w:sz w:val="21"/>
              </w:rPr>
            </w:pPr>
          </w:p>
        </w:tc>
        <w:tc>
          <w:tcPr>
            <w:tcW w:w="735" w:type="pct"/>
            <w:vAlign w:val="center"/>
          </w:tcPr>
          <w:p w14:paraId="40BC0D7A">
            <w:pPr>
              <w:spacing w:line="480" w:lineRule="exact"/>
              <w:jc w:val="center"/>
              <w:rPr>
                <w:rFonts w:ascii="仿宋" w:hAnsi="仿宋" w:cs="仿宋"/>
                <w:sz w:val="21"/>
              </w:rPr>
            </w:pPr>
            <w:r>
              <w:rPr>
                <w:rFonts w:hint="eastAsia" w:ascii="仿宋" w:hAnsi="仿宋" w:cs="仿宋"/>
                <w:sz w:val="21"/>
              </w:rPr>
              <w:t>T10</w:t>
            </w:r>
          </w:p>
        </w:tc>
        <w:tc>
          <w:tcPr>
            <w:tcW w:w="738" w:type="pct"/>
            <w:vAlign w:val="center"/>
          </w:tcPr>
          <w:p w14:paraId="4F08EDB9">
            <w:pPr>
              <w:spacing w:line="480" w:lineRule="exact"/>
              <w:jc w:val="center"/>
              <w:rPr>
                <w:rFonts w:ascii="仿宋" w:hAnsi="仿宋" w:cs="仿宋"/>
                <w:sz w:val="21"/>
              </w:rPr>
            </w:pPr>
            <w:r>
              <w:rPr>
                <w:rFonts w:hint="eastAsia" w:ascii="仿宋" w:hAnsi="仿宋" w:cs="仿宋"/>
                <w:sz w:val="21"/>
              </w:rPr>
              <w:t>水位1</w:t>
            </w:r>
          </w:p>
        </w:tc>
        <w:tc>
          <w:tcPr>
            <w:tcW w:w="839" w:type="pct"/>
            <w:vAlign w:val="center"/>
          </w:tcPr>
          <w:p w14:paraId="4E26A421">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1062671">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485B2C9E">
            <w:pPr>
              <w:jc w:val="center"/>
              <w:textAlignment w:val="bottom"/>
              <w:rPr>
                <w:rFonts w:ascii="仿宋" w:hAnsi="仿宋" w:cs="仿宋"/>
                <w:sz w:val="21"/>
              </w:rPr>
            </w:pPr>
            <w:r>
              <w:rPr>
                <w:rFonts w:hint="eastAsia" w:ascii="仿宋" w:hAnsi="仿宋" w:cs="仿宋"/>
                <w:sz w:val="21"/>
              </w:rPr>
              <w:t>布尔型</w:t>
            </w:r>
          </w:p>
        </w:tc>
      </w:tr>
      <w:tr w14:paraId="7D6D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4CE93616">
            <w:pPr>
              <w:spacing w:line="360" w:lineRule="auto"/>
              <w:rPr>
                <w:rFonts w:ascii="仿宋" w:hAnsi="仿宋" w:cs="仿宋"/>
                <w:sz w:val="21"/>
              </w:rPr>
            </w:pPr>
          </w:p>
        </w:tc>
        <w:tc>
          <w:tcPr>
            <w:tcW w:w="735" w:type="pct"/>
            <w:vAlign w:val="center"/>
          </w:tcPr>
          <w:p w14:paraId="13D8338F">
            <w:pPr>
              <w:spacing w:line="480" w:lineRule="exact"/>
              <w:jc w:val="center"/>
              <w:rPr>
                <w:rFonts w:ascii="仿宋" w:hAnsi="仿宋" w:cs="仿宋"/>
                <w:sz w:val="21"/>
              </w:rPr>
            </w:pPr>
            <w:r>
              <w:rPr>
                <w:rFonts w:hint="eastAsia" w:ascii="仿宋" w:hAnsi="仿宋" w:cs="仿宋"/>
                <w:sz w:val="21"/>
              </w:rPr>
              <w:t>T11</w:t>
            </w:r>
          </w:p>
        </w:tc>
        <w:tc>
          <w:tcPr>
            <w:tcW w:w="738" w:type="pct"/>
            <w:vAlign w:val="center"/>
          </w:tcPr>
          <w:p w14:paraId="2660FB5A">
            <w:pPr>
              <w:spacing w:line="480" w:lineRule="exact"/>
              <w:jc w:val="center"/>
              <w:rPr>
                <w:rFonts w:ascii="仿宋" w:hAnsi="仿宋" w:cs="仿宋"/>
                <w:sz w:val="21"/>
              </w:rPr>
            </w:pPr>
            <w:r>
              <w:rPr>
                <w:rFonts w:hint="eastAsia" w:ascii="仿宋" w:hAnsi="仿宋" w:cs="仿宋"/>
                <w:sz w:val="21"/>
              </w:rPr>
              <w:t>水位2</w:t>
            </w:r>
          </w:p>
        </w:tc>
        <w:tc>
          <w:tcPr>
            <w:tcW w:w="839" w:type="pct"/>
            <w:vAlign w:val="center"/>
          </w:tcPr>
          <w:p w14:paraId="5C39F3FF">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5C51F04D">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081824C5">
            <w:pPr>
              <w:jc w:val="center"/>
              <w:textAlignment w:val="bottom"/>
              <w:rPr>
                <w:rFonts w:ascii="仿宋" w:hAnsi="仿宋" w:cs="仿宋"/>
                <w:sz w:val="21"/>
              </w:rPr>
            </w:pPr>
            <w:r>
              <w:rPr>
                <w:rFonts w:hint="eastAsia" w:ascii="仿宋" w:hAnsi="仿宋" w:cs="仿宋"/>
                <w:sz w:val="21"/>
              </w:rPr>
              <w:t>布尔型</w:t>
            </w:r>
          </w:p>
        </w:tc>
      </w:tr>
      <w:tr w14:paraId="4625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1A3AA11">
            <w:pPr>
              <w:spacing w:line="360" w:lineRule="auto"/>
              <w:rPr>
                <w:rFonts w:ascii="仿宋" w:hAnsi="仿宋" w:cs="仿宋"/>
                <w:sz w:val="21"/>
              </w:rPr>
            </w:pPr>
          </w:p>
        </w:tc>
        <w:tc>
          <w:tcPr>
            <w:tcW w:w="735" w:type="pct"/>
            <w:vAlign w:val="center"/>
          </w:tcPr>
          <w:p w14:paraId="5CCC3C5D">
            <w:pPr>
              <w:spacing w:line="480" w:lineRule="exact"/>
              <w:jc w:val="center"/>
              <w:rPr>
                <w:rFonts w:ascii="仿宋" w:hAnsi="仿宋" w:cs="仿宋"/>
                <w:sz w:val="21"/>
              </w:rPr>
            </w:pPr>
            <w:r>
              <w:rPr>
                <w:rFonts w:hint="eastAsia" w:ascii="仿宋" w:hAnsi="仿宋" w:cs="仿宋"/>
                <w:sz w:val="21"/>
              </w:rPr>
              <w:t>R1</w:t>
            </w:r>
          </w:p>
        </w:tc>
        <w:tc>
          <w:tcPr>
            <w:tcW w:w="738" w:type="pct"/>
            <w:vAlign w:val="center"/>
          </w:tcPr>
          <w:p w14:paraId="1766770C">
            <w:pPr>
              <w:spacing w:line="480" w:lineRule="exact"/>
              <w:jc w:val="center"/>
              <w:rPr>
                <w:rFonts w:ascii="仿宋" w:hAnsi="仿宋" w:cs="仿宋"/>
                <w:sz w:val="21"/>
              </w:rPr>
            </w:pPr>
            <w:r>
              <w:rPr>
                <w:rFonts w:hint="eastAsia" w:ascii="仿宋" w:hAnsi="仿宋" w:cs="仿宋"/>
                <w:sz w:val="21"/>
              </w:rPr>
              <w:t>温度R</w:t>
            </w:r>
          </w:p>
        </w:tc>
        <w:tc>
          <w:tcPr>
            <w:tcW w:w="839" w:type="pct"/>
            <w:vAlign w:val="center"/>
          </w:tcPr>
          <w:p w14:paraId="632C3385">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D19E140">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0CA7E447">
            <w:pPr>
              <w:jc w:val="center"/>
              <w:textAlignment w:val="bottom"/>
              <w:rPr>
                <w:rFonts w:ascii="仿宋" w:hAnsi="仿宋" w:cs="仿宋"/>
                <w:sz w:val="21"/>
              </w:rPr>
            </w:pPr>
            <w:r>
              <w:rPr>
                <w:rFonts w:hint="eastAsia" w:ascii="仿宋" w:hAnsi="仿宋" w:cs="仿宋"/>
                <w:sz w:val="21"/>
              </w:rPr>
              <w:t>小数型</w:t>
            </w:r>
          </w:p>
        </w:tc>
      </w:tr>
      <w:tr w14:paraId="27A0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C932582">
            <w:pPr>
              <w:spacing w:line="360" w:lineRule="auto"/>
              <w:rPr>
                <w:rFonts w:ascii="仿宋" w:hAnsi="仿宋" w:cs="仿宋"/>
                <w:sz w:val="21"/>
              </w:rPr>
            </w:pPr>
          </w:p>
        </w:tc>
        <w:tc>
          <w:tcPr>
            <w:tcW w:w="735" w:type="pct"/>
            <w:vAlign w:val="center"/>
          </w:tcPr>
          <w:p w14:paraId="40A565EA">
            <w:pPr>
              <w:spacing w:line="480" w:lineRule="exact"/>
              <w:jc w:val="center"/>
              <w:rPr>
                <w:rFonts w:ascii="仿宋" w:hAnsi="仿宋" w:cs="仿宋"/>
                <w:sz w:val="21"/>
              </w:rPr>
            </w:pPr>
            <w:r>
              <w:rPr>
                <w:rFonts w:hint="eastAsia" w:ascii="仿宋" w:hAnsi="仿宋" w:cs="仿宋"/>
                <w:sz w:val="21"/>
              </w:rPr>
              <w:t>R2</w:t>
            </w:r>
          </w:p>
        </w:tc>
        <w:tc>
          <w:tcPr>
            <w:tcW w:w="738" w:type="pct"/>
            <w:vAlign w:val="center"/>
          </w:tcPr>
          <w:p w14:paraId="1E4C6006">
            <w:pPr>
              <w:spacing w:line="480" w:lineRule="exact"/>
              <w:jc w:val="center"/>
              <w:rPr>
                <w:rFonts w:ascii="仿宋" w:hAnsi="仿宋" w:cs="仿宋"/>
                <w:sz w:val="21"/>
              </w:rPr>
            </w:pPr>
            <w:r>
              <w:rPr>
                <w:rFonts w:hint="eastAsia" w:ascii="仿宋" w:hAnsi="仿宋" w:cs="仿宋"/>
                <w:sz w:val="21"/>
              </w:rPr>
              <w:t>压力R</w:t>
            </w:r>
          </w:p>
        </w:tc>
        <w:tc>
          <w:tcPr>
            <w:tcW w:w="839" w:type="pct"/>
            <w:vAlign w:val="center"/>
          </w:tcPr>
          <w:p w14:paraId="192F151C">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BF2A13A">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4BE9D90E">
            <w:pPr>
              <w:jc w:val="center"/>
              <w:textAlignment w:val="bottom"/>
              <w:rPr>
                <w:rFonts w:ascii="仿宋" w:hAnsi="仿宋" w:cs="仿宋"/>
                <w:sz w:val="21"/>
              </w:rPr>
            </w:pPr>
            <w:r>
              <w:rPr>
                <w:rFonts w:hint="eastAsia" w:ascii="仿宋" w:hAnsi="仿宋" w:cs="仿宋"/>
                <w:sz w:val="21"/>
              </w:rPr>
              <w:t>小数型</w:t>
            </w:r>
          </w:p>
        </w:tc>
      </w:tr>
      <w:tr w14:paraId="4638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1872A554">
            <w:pPr>
              <w:spacing w:line="360" w:lineRule="auto"/>
              <w:rPr>
                <w:rFonts w:ascii="仿宋" w:hAnsi="仿宋" w:cs="仿宋"/>
                <w:sz w:val="21"/>
              </w:rPr>
            </w:pPr>
          </w:p>
        </w:tc>
        <w:tc>
          <w:tcPr>
            <w:tcW w:w="735" w:type="pct"/>
            <w:vAlign w:val="center"/>
          </w:tcPr>
          <w:p w14:paraId="1AD903FB">
            <w:pPr>
              <w:spacing w:line="480" w:lineRule="exact"/>
              <w:jc w:val="center"/>
              <w:rPr>
                <w:rFonts w:ascii="仿宋" w:hAnsi="仿宋" w:cs="仿宋"/>
                <w:sz w:val="21"/>
              </w:rPr>
            </w:pPr>
            <w:r>
              <w:rPr>
                <w:rFonts w:hint="eastAsia" w:ascii="仿宋" w:hAnsi="仿宋" w:cs="仿宋"/>
                <w:sz w:val="21"/>
              </w:rPr>
              <w:t>R3</w:t>
            </w:r>
          </w:p>
        </w:tc>
        <w:tc>
          <w:tcPr>
            <w:tcW w:w="738" w:type="pct"/>
            <w:vAlign w:val="center"/>
          </w:tcPr>
          <w:p w14:paraId="078133C4">
            <w:pPr>
              <w:spacing w:line="480" w:lineRule="exact"/>
              <w:jc w:val="center"/>
              <w:rPr>
                <w:rFonts w:ascii="仿宋" w:hAnsi="仿宋" w:cs="仿宋"/>
                <w:sz w:val="21"/>
              </w:rPr>
            </w:pPr>
            <w:r>
              <w:rPr>
                <w:rFonts w:hint="eastAsia" w:ascii="仿宋" w:hAnsi="仿宋" w:cs="仿宋"/>
                <w:sz w:val="21"/>
              </w:rPr>
              <w:t>流量R</w:t>
            </w:r>
          </w:p>
        </w:tc>
        <w:tc>
          <w:tcPr>
            <w:tcW w:w="839" w:type="pct"/>
            <w:vAlign w:val="center"/>
          </w:tcPr>
          <w:p w14:paraId="1001765F">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38A0D7D3">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64C5D4A9">
            <w:pPr>
              <w:jc w:val="center"/>
              <w:textAlignment w:val="bottom"/>
              <w:rPr>
                <w:rFonts w:ascii="仿宋" w:hAnsi="仿宋" w:cs="仿宋"/>
                <w:sz w:val="21"/>
              </w:rPr>
            </w:pPr>
            <w:r>
              <w:rPr>
                <w:rFonts w:hint="eastAsia" w:ascii="仿宋" w:hAnsi="仿宋" w:cs="仿宋"/>
                <w:sz w:val="21"/>
              </w:rPr>
              <w:t>小数型</w:t>
            </w:r>
          </w:p>
        </w:tc>
      </w:tr>
      <w:tr w14:paraId="1E04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32ECC6BA">
            <w:pPr>
              <w:spacing w:line="360" w:lineRule="auto"/>
              <w:rPr>
                <w:rFonts w:ascii="仿宋" w:hAnsi="仿宋" w:cs="仿宋"/>
                <w:sz w:val="21"/>
              </w:rPr>
            </w:pPr>
          </w:p>
        </w:tc>
        <w:tc>
          <w:tcPr>
            <w:tcW w:w="735" w:type="pct"/>
            <w:vAlign w:val="center"/>
          </w:tcPr>
          <w:p w14:paraId="25184AB7">
            <w:pPr>
              <w:spacing w:line="480" w:lineRule="exact"/>
              <w:jc w:val="center"/>
              <w:rPr>
                <w:rFonts w:ascii="仿宋" w:hAnsi="仿宋" w:cs="仿宋"/>
                <w:sz w:val="21"/>
              </w:rPr>
            </w:pPr>
            <w:r>
              <w:rPr>
                <w:rFonts w:hint="eastAsia" w:ascii="仿宋" w:hAnsi="仿宋" w:cs="仿宋"/>
                <w:sz w:val="21"/>
              </w:rPr>
              <w:t>R4</w:t>
            </w:r>
          </w:p>
        </w:tc>
        <w:tc>
          <w:tcPr>
            <w:tcW w:w="738" w:type="pct"/>
            <w:vAlign w:val="center"/>
          </w:tcPr>
          <w:p w14:paraId="7858F640">
            <w:pPr>
              <w:spacing w:line="480" w:lineRule="exact"/>
              <w:jc w:val="center"/>
              <w:rPr>
                <w:rFonts w:ascii="仿宋" w:hAnsi="仿宋" w:cs="仿宋"/>
                <w:sz w:val="21"/>
              </w:rPr>
            </w:pPr>
            <w:r>
              <w:rPr>
                <w:rFonts w:hint="eastAsia" w:ascii="仿宋" w:hAnsi="仿宋" w:cs="仿宋"/>
                <w:sz w:val="21"/>
              </w:rPr>
              <w:t>水质R</w:t>
            </w:r>
          </w:p>
        </w:tc>
        <w:tc>
          <w:tcPr>
            <w:tcW w:w="839" w:type="pct"/>
            <w:vAlign w:val="center"/>
          </w:tcPr>
          <w:p w14:paraId="28AA31A3">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B9444C7">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5A82B8D1">
            <w:pPr>
              <w:jc w:val="center"/>
              <w:textAlignment w:val="bottom"/>
              <w:rPr>
                <w:rFonts w:ascii="仿宋" w:hAnsi="仿宋" w:cs="仿宋"/>
                <w:sz w:val="21"/>
              </w:rPr>
            </w:pPr>
            <w:r>
              <w:rPr>
                <w:rFonts w:hint="eastAsia" w:ascii="仿宋" w:hAnsi="仿宋" w:cs="仿宋"/>
                <w:sz w:val="21"/>
              </w:rPr>
              <w:t>小数型</w:t>
            </w:r>
          </w:p>
        </w:tc>
      </w:tr>
      <w:tr w14:paraId="7F1F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449B269B">
            <w:pPr>
              <w:spacing w:line="360" w:lineRule="auto"/>
              <w:rPr>
                <w:rFonts w:ascii="仿宋" w:hAnsi="仿宋" w:cs="仿宋"/>
                <w:sz w:val="21"/>
              </w:rPr>
            </w:pPr>
          </w:p>
        </w:tc>
        <w:tc>
          <w:tcPr>
            <w:tcW w:w="735" w:type="pct"/>
            <w:vAlign w:val="center"/>
          </w:tcPr>
          <w:p w14:paraId="2991DD8C">
            <w:pPr>
              <w:spacing w:line="480" w:lineRule="exact"/>
              <w:jc w:val="center"/>
              <w:rPr>
                <w:rFonts w:ascii="仿宋" w:hAnsi="仿宋" w:cs="仿宋"/>
                <w:sz w:val="21"/>
              </w:rPr>
            </w:pPr>
            <w:r>
              <w:rPr>
                <w:rFonts w:hint="eastAsia" w:ascii="仿宋" w:hAnsi="仿宋" w:cs="仿宋"/>
                <w:sz w:val="21"/>
              </w:rPr>
              <w:t>R5</w:t>
            </w:r>
          </w:p>
        </w:tc>
        <w:tc>
          <w:tcPr>
            <w:tcW w:w="738" w:type="pct"/>
            <w:vAlign w:val="center"/>
          </w:tcPr>
          <w:p w14:paraId="6CC0D2E9">
            <w:pPr>
              <w:spacing w:line="480" w:lineRule="exact"/>
              <w:jc w:val="center"/>
              <w:rPr>
                <w:rFonts w:ascii="仿宋" w:hAnsi="仿宋" w:cs="仿宋"/>
                <w:sz w:val="21"/>
              </w:rPr>
            </w:pPr>
            <w:r>
              <w:rPr>
                <w:rFonts w:hint="eastAsia" w:ascii="仿宋" w:hAnsi="仿宋" w:cs="仿宋"/>
                <w:sz w:val="21"/>
              </w:rPr>
              <w:t>PH-R</w:t>
            </w:r>
          </w:p>
        </w:tc>
        <w:tc>
          <w:tcPr>
            <w:tcW w:w="839" w:type="pct"/>
            <w:vAlign w:val="center"/>
          </w:tcPr>
          <w:p w14:paraId="3AB0FF1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9AC3481">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3E6FCD66">
            <w:pPr>
              <w:jc w:val="center"/>
              <w:textAlignment w:val="bottom"/>
              <w:rPr>
                <w:rFonts w:ascii="仿宋" w:hAnsi="仿宋" w:cs="仿宋"/>
                <w:sz w:val="21"/>
              </w:rPr>
            </w:pPr>
            <w:r>
              <w:rPr>
                <w:rFonts w:hint="eastAsia" w:ascii="仿宋" w:hAnsi="仿宋" w:cs="仿宋"/>
                <w:sz w:val="21"/>
              </w:rPr>
              <w:t>小数型</w:t>
            </w:r>
          </w:p>
        </w:tc>
      </w:tr>
      <w:tr w14:paraId="26B5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39612DFB">
            <w:pPr>
              <w:spacing w:line="360" w:lineRule="auto"/>
              <w:rPr>
                <w:rFonts w:ascii="仿宋" w:hAnsi="仿宋" w:cs="仿宋"/>
                <w:sz w:val="21"/>
              </w:rPr>
            </w:pPr>
          </w:p>
        </w:tc>
        <w:tc>
          <w:tcPr>
            <w:tcW w:w="735" w:type="pct"/>
            <w:vAlign w:val="center"/>
          </w:tcPr>
          <w:p w14:paraId="5F32F1FE">
            <w:pPr>
              <w:spacing w:line="480" w:lineRule="exact"/>
              <w:jc w:val="center"/>
              <w:rPr>
                <w:rFonts w:ascii="仿宋" w:hAnsi="仿宋" w:cs="仿宋"/>
                <w:sz w:val="21"/>
              </w:rPr>
            </w:pPr>
            <w:r>
              <w:rPr>
                <w:rFonts w:hint="eastAsia" w:ascii="仿宋" w:hAnsi="仿宋" w:cs="仿宋"/>
                <w:sz w:val="21"/>
              </w:rPr>
              <w:t>R6</w:t>
            </w:r>
          </w:p>
        </w:tc>
        <w:tc>
          <w:tcPr>
            <w:tcW w:w="738" w:type="pct"/>
            <w:vAlign w:val="center"/>
          </w:tcPr>
          <w:p w14:paraId="2A682972">
            <w:pPr>
              <w:spacing w:line="480" w:lineRule="exact"/>
              <w:jc w:val="center"/>
              <w:rPr>
                <w:rFonts w:ascii="仿宋" w:hAnsi="仿宋" w:cs="仿宋"/>
                <w:sz w:val="21"/>
              </w:rPr>
            </w:pPr>
            <w:r>
              <w:rPr>
                <w:rFonts w:hint="eastAsia" w:ascii="仿宋" w:hAnsi="仿宋" w:cs="仿宋"/>
                <w:sz w:val="21"/>
              </w:rPr>
              <w:t>溶解氧-R</w:t>
            </w:r>
          </w:p>
        </w:tc>
        <w:tc>
          <w:tcPr>
            <w:tcW w:w="839" w:type="pct"/>
            <w:vAlign w:val="center"/>
          </w:tcPr>
          <w:p w14:paraId="6E521FF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444915F">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BE99EB4">
            <w:pPr>
              <w:jc w:val="center"/>
              <w:textAlignment w:val="bottom"/>
              <w:rPr>
                <w:rFonts w:ascii="仿宋" w:hAnsi="仿宋" w:cs="仿宋"/>
                <w:sz w:val="21"/>
              </w:rPr>
            </w:pPr>
            <w:r>
              <w:rPr>
                <w:rFonts w:hint="eastAsia" w:ascii="仿宋" w:hAnsi="仿宋" w:cs="仿宋"/>
                <w:sz w:val="21"/>
              </w:rPr>
              <w:t>小数型</w:t>
            </w:r>
          </w:p>
        </w:tc>
      </w:tr>
      <w:tr w14:paraId="675A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EDF669E">
            <w:pPr>
              <w:spacing w:line="360" w:lineRule="auto"/>
              <w:rPr>
                <w:rFonts w:ascii="仿宋" w:hAnsi="仿宋" w:cs="仿宋"/>
                <w:sz w:val="21"/>
              </w:rPr>
            </w:pPr>
          </w:p>
        </w:tc>
        <w:tc>
          <w:tcPr>
            <w:tcW w:w="735" w:type="pct"/>
            <w:vAlign w:val="center"/>
          </w:tcPr>
          <w:p w14:paraId="771294D0">
            <w:pPr>
              <w:spacing w:line="480" w:lineRule="exact"/>
              <w:jc w:val="center"/>
              <w:rPr>
                <w:rFonts w:ascii="仿宋" w:hAnsi="仿宋" w:cs="仿宋"/>
                <w:sz w:val="21"/>
              </w:rPr>
            </w:pPr>
            <w:r>
              <w:rPr>
                <w:rFonts w:hint="eastAsia" w:ascii="仿宋" w:hAnsi="仿宋" w:cs="仿宋"/>
                <w:sz w:val="21"/>
              </w:rPr>
              <w:t>R7</w:t>
            </w:r>
          </w:p>
        </w:tc>
        <w:tc>
          <w:tcPr>
            <w:tcW w:w="738" w:type="pct"/>
            <w:shd w:val="clear" w:color="auto" w:fill="auto"/>
            <w:vAlign w:val="center"/>
          </w:tcPr>
          <w:p w14:paraId="5D91E933">
            <w:pPr>
              <w:jc w:val="center"/>
              <w:textAlignment w:val="bottom"/>
              <w:rPr>
                <w:rFonts w:ascii="仿宋" w:hAnsi="仿宋" w:cs="仿宋"/>
                <w:sz w:val="21"/>
              </w:rPr>
            </w:pPr>
            <w:r>
              <w:rPr>
                <w:rFonts w:hint="eastAsia" w:ascii="仿宋" w:hAnsi="仿宋" w:cs="仿宋"/>
                <w:sz w:val="21"/>
              </w:rPr>
              <w:t>电导率R</w:t>
            </w:r>
          </w:p>
        </w:tc>
        <w:tc>
          <w:tcPr>
            <w:tcW w:w="839" w:type="pct"/>
            <w:vAlign w:val="center"/>
          </w:tcPr>
          <w:p w14:paraId="53C8CA36">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0F7931E9">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567920A7">
            <w:pPr>
              <w:jc w:val="center"/>
              <w:textAlignment w:val="bottom"/>
              <w:rPr>
                <w:rFonts w:ascii="仿宋" w:hAnsi="仿宋" w:cs="仿宋"/>
                <w:sz w:val="21"/>
              </w:rPr>
            </w:pPr>
            <w:r>
              <w:rPr>
                <w:rFonts w:hint="eastAsia" w:ascii="仿宋" w:hAnsi="仿宋" w:cs="仿宋"/>
                <w:sz w:val="21"/>
              </w:rPr>
              <w:t>小数型</w:t>
            </w:r>
          </w:p>
        </w:tc>
      </w:tr>
      <w:tr w14:paraId="010C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73357328">
            <w:pPr>
              <w:spacing w:line="360" w:lineRule="auto"/>
              <w:rPr>
                <w:rFonts w:ascii="仿宋" w:hAnsi="仿宋" w:cs="仿宋"/>
                <w:sz w:val="21"/>
              </w:rPr>
            </w:pPr>
          </w:p>
        </w:tc>
        <w:tc>
          <w:tcPr>
            <w:tcW w:w="735" w:type="pct"/>
            <w:vAlign w:val="center"/>
          </w:tcPr>
          <w:p w14:paraId="31D29CD5">
            <w:pPr>
              <w:spacing w:line="480" w:lineRule="exact"/>
              <w:jc w:val="center"/>
              <w:rPr>
                <w:rFonts w:ascii="仿宋" w:hAnsi="仿宋" w:cs="仿宋"/>
                <w:sz w:val="21"/>
              </w:rPr>
            </w:pPr>
            <w:r>
              <w:rPr>
                <w:rFonts w:hint="eastAsia" w:ascii="仿宋" w:hAnsi="仿宋" w:cs="仿宋"/>
                <w:sz w:val="21"/>
              </w:rPr>
              <w:t>R8</w:t>
            </w:r>
          </w:p>
        </w:tc>
        <w:tc>
          <w:tcPr>
            <w:tcW w:w="738" w:type="pct"/>
            <w:shd w:val="clear" w:color="auto" w:fill="auto"/>
            <w:vAlign w:val="center"/>
          </w:tcPr>
          <w:p w14:paraId="1799A76A">
            <w:pPr>
              <w:jc w:val="center"/>
              <w:textAlignment w:val="bottom"/>
              <w:rPr>
                <w:rFonts w:ascii="仿宋" w:hAnsi="仿宋" w:cs="仿宋"/>
                <w:sz w:val="21"/>
              </w:rPr>
            </w:pPr>
            <w:r>
              <w:rPr>
                <w:rFonts w:hint="eastAsia" w:ascii="仿宋" w:hAnsi="仿宋" w:cs="仿宋"/>
                <w:sz w:val="21"/>
              </w:rPr>
              <w:t>浊度R</w:t>
            </w:r>
          </w:p>
        </w:tc>
        <w:tc>
          <w:tcPr>
            <w:tcW w:w="839" w:type="pct"/>
            <w:vAlign w:val="center"/>
          </w:tcPr>
          <w:p w14:paraId="200AF480">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17FF4B4E">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733C04B4">
            <w:pPr>
              <w:jc w:val="center"/>
              <w:textAlignment w:val="bottom"/>
              <w:rPr>
                <w:rFonts w:ascii="仿宋" w:hAnsi="仿宋" w:cs="仿宋"/>
                <w:sz w:val="21"/>
              </w:rPr>
            </w:pPr>
            <w:r>
              <w:rPr>
                <w:rFonts w:hint="eastAsia" w:ascii="仿宋" w:hAnsi="仿宋" w:cs="仿宋"/>
                <w:sz w:val="21"/>
              </w:rPr>
              <w:t>小数型</w:t>
            </w:r>
          </w:p>
        </w:tc>
      </w:tr>
      <w:tr w14:paraId="24EA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72BCF3E">
            <w:pPr>
              <w:spacing w:line="360" w:lineRule="auto"/>
              <w:rPr>
                <w:rFonts w:ascii="仿宋" w:hAnsi="仿宋" w:cs="仿宋"/>
                <w:sz w:val="21"/>
              </w:rPr>
            </w:pPr>
          </w:p>
        </w:tc>
        <w:tc>
          <w:tcPr>
            <w:tcW w:w="735" w:type="pct"/>
            <w:vAlign w:val="center"/>
          </w:tcPr>
          <w:p w14:paraId="094A6E42">
            <w:pPr>
              <w:spacing w:line="480" w:lineRule="exact"/>
              <w:jc w:val="center"/>
              <w:rPr>
                <w:rFonts w:ascii="仿宋" w:hAnsi="仿宋" w:cs="仿宋"/>
                <w:sz w:val="21"/>
              </w:rPr>
            </w:pPr>
            <w:r>
              <w:rPr>
                <w:rFonts w:hint="eastAsia" w:ascii="仿宋" w:hAnsi="仿宋" w:cs="仿宋"/>
                <w:sz w:val="21"/>
              </w:rPr>
              <w:t>R9</w:t>
            </w:r>
          </w:p>
        </w:tc>
        <w:tc>
          <w:tcPr>
            <w:tcW w:w="738" w:type="pct"/>
            <w:vAlign w:val="center"/>
          </w:tcPr>
          <w:p w14:paraId="0320E740">
            <w:pPr>
              <w:spacing w:line="480" w:lineRule="exact"/>
              <w:jc w:val="center"/>
              <w:rPr>
                <w:rFonts w:ascii="仿宋" w:hAnsi="仿宋" w:cs="仿宋"/>
                <w:sz w:val="21"/>
              </w:rPr>
            </w:pPr>
            <w:r>
              <w:rPr>
                <w:rFonts w:hint="eastAsia" w:ascii="仿宋" w:hAnsi="仿宋" w:cs="仿宋"/>
                <w:sz w:val="21"/>
              </w:rPr>
              <w:t>氨氮R</w:t>
            </w:r>
          </w:p>
        </w:tc>
        <w:tc>
          <w:tcPr>
            <w:tcW w:w="839" w:type="pct"/>
            <w:vAlign w:val="center"/>
          </w:tcPr>
          <w:p w14:paraId="6AD595D8">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3C038AD0">
            <w:pPr>
              <w:jc w:val="center"/>
              <w:textAlignment w:val="bottom"/>
              <w:rPr>
                <w:rFonts w:ascii="仿宋" w:hAnsi="仿宋" w:cs="仿宋"/>
                <w:sz w:val="21"/>
              </w:rPr>
            </w:pPr>
            <w:r>
              <w:rPr>
                <w:rFonts w:hint="eastAsia" w:ascii="仿宋" w:hAnsi="仿宋" w:cs="仿宋"/>
                <w:sz w:val="21"/>
              </w:rPr>
              <w:t>只读</w:t>
            </w:r>
          </w:p>
        </w:tc>
        <w:tc>
          <w:tcPr>
            <w:tcW w:w="746" w:type="pct"/>
            <w:vAlign w:val="center"/>
          </w:tcPr>
          <w:p w14:paraId="151113E5">
            <w:pPr>
              <w:jc w:val="center"/>
              <w:textAlignment w:val="bottom"/>
              <w:rPr>
                <w:rFonts w:ascii="仿宋" w:hAnsi="仿宋" w:cs="仿宋"/>
                <w:sz w:val="21"/>
              </w:rPr>
            </w:pPr>
            <w:r>
              <w:rPr>
                <w:rFonts w:hint="eastAsia" w:ascii="仿宋" w:hAnsi="仿宋" w:cs="仿宋"/>
                <w:sz w:val="21"/>
              </w:rPr>
              <w:t>小数型</w:t>
            </w:r>
          </w:p>
        </w:tc>
      </w:tr>
      <w:tr w14:paraId="2CD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0EDB62AE">
            <w:pPr>
              <w:spacing w:line="360" w:lineRule="auto"/>
              <w:rPr>
                <w:rFonts w:ascii="仿宋" w:hAnsi="仿宋" w:cs="仿宋"/>
                <w:sz w:val="21"/>
              </w:rPr>
            </w:pPr>
          </w:p>
        </w:tc>
        <w:tc>
          <w:tcPr>
            <w:tcW w:w="735" w:type="pct"/>
            <w:vAlign w:val="center"/>
          </w:tcPr>
          <w:p w14:paraId="41CF4BDB">
            <w:pPr>
              <w:spacing w:line="480" w:lineRule="exact"/>
              <w:jc w:val="center"/>
              <w:rPr>
                <w:rFonts w:ascii="仿宋" w:hAnsi="仿宋" w:cs="仿宋"/>
                <w:sz w:val="21"/>
              </w:rPr>
            </w:pPr>
            <w:r>
              <w:rPr>
                <w:rFonts w:hint="eastAsia" w:ascii="仿宋" w:hAnsi="仿宋" w:cs="仿宋"/>
                <w:sz w:val="21"/>
              </w:rPr>
              <w:t>R10</w:t>
            </w:r>
          </w:p>
        </w:tc>
        <w:tc>
          <w:tcPr>
            <w:tcW w:w="738" w:type="pct"/>
            <w:vAlign w:val="center"/>
          </w:tcPr>
          <w:p w14:paraId="599C5BE1">
            <w:pPr>
              <w:spacing w:line="480" w:lineRule="exact"/>
              <w:jc w:val="center"/>
              <w:rPr>
                <w:rFonts w:ascii="仿宋" w:hAnsi="仿宋" w:cs="仿宋"/>
                <w:sz w:val="21"/>
              </w:rPr>
            </w:pPr>
            <w:r>
              <w:rPr>
                <w:rFonts w:hint="eastAsia" w:ascii="仿宋" w:hAnsi="仿宋" w:cs="仿宋"/>
                <w:sz w:val="21"/>
              </w:rPr>
              <w:t>水质R-1</w:t>
            </w:r>
          </w:p>
        </w:tc>
        <w:tc>
          <w:tcPr>
            <w:tcW w:w="839" w:type="pct"/>
            <w:vAlign w:val="center"/>
          </w:tcPr>
          <w:p w14:paraId="7F60C717">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28C65841">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4C0151CF">
            <w:pPr>
              <w:jc w:val="center"/>
              <w:textAlignment w:val="bottom"/>
              <w:rPr>
                <w:rFonts w:ascii="仿宋" w:hAnsi="仿宋" w:cs="仿宋"/>
                <w:sz w:val="21"/>
              </w:rPr>
            </w:pPr>
            <w:r>
              <w:rPr>
                <w:rFonts w:hint="eastAsia" w:ascii="仿宋" w:hAnsi="仿宋" w:cs="仿宋"/>
                <w:sz w:val="21"/>
              </w:rPr>
              <w:t>布尔型</w:t>
            </w:r>
          </w:p>
        </w:tc>
      </w:tr>
      <w:tr w14:paraId="6AC4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Merge w:val="continue"/>
            <w:vAlign w:val="center"/>
          </w:tcPr>
          <w:p w14:paraId="5A8AC567">
            <w:pPr>
              <w:spacing w:line="360" w:lineRule="auto"/>
              <w:rPr>
                <w:rFonts w:ascii="仿宋" w:hAnsi="仿宋" w:cs="仿宋"/>
                <w:sz w:val="21"/>
              </w:rPr>
            </w:pPr>
          </w:p>
        </w:tc>
        <w:tc>
          <w:tcPr>
            <w:tcW w:w="735" w:type="pct"/>
            <w:vAlign w:val="center"/>
          </w:tcPr>
          <w:p w14:paraId="541DC8FB">
            <w:pPr>
              <w:spacing w:line="480" w:lineRule="exact"/>
              <w:jc w:val="center"/>
              <w:rPr>
                <w:rFonts w:ascii="仿宋" w:hAnsi="仿宋" w:cs="仿宋"/>
                <w:sz w:val="21"/>
              </w:rPr>
            </w:pPr>
            <w:r>
              <w:rPr>
                <w:rFonts w:hint="eastAsia" w:ascii="仿宋" w:hAnsi="仿宋" w:cs="仿宋"/>
                <w:sz w:val="21"/>
              </w:rPr>
              <w:t>R11</w:t>
            </w:r>
          </w:p>
        </w:tc>
        <w:tc>
          <w:tcPr>
            <w:tcW w:w="738" w:type="pct"/>
            <w:shd w:val="clear" w:color="auto" w:fill="auto"/>
            <w:vAlign w:val="center"/>
          </w:tcPr>
          <w:p w14:paraId="767228CF">
            <w:pPr>
              <w:jc w:val="center"/>
              <w:textAlignment w:val="bottom"/>
              <w:rPr>
                <w:rFonts w:ascii="仿宋" w:hAnsi="仿宋" w:cs="仿宋"/>
                <w:sz w:val="21"/>
              </w:rPr>
            </w:pPr>
            <w:r>
              <w:rPr>
                <w:rFonts w:hint="eastAsia" w:ascii="仿宋" w:hAnsi="仿宋" w:cs="仿宋"/>
                <w:sz w:val="21"/>
              </w:rPr>
              <w:t>水质R-2</w:t>
            </w:r>
          </w:p>
        </w:tc>
        <w:tc>
          <w:tcPr>
            <w:tcW w:w="839" w:type="pct"/>
            <w:vAlign w:val="center"/>
          </w:tcPr>
          <w:p w14:paraId="2405202C">
            <w:pPr>
              <w:jc w:val="center"/>
              <w:textAlignment w:val="bottom"/>
              <w:rPr>
                <w:rFonts w:ascii="仿宋" w:hAnsi="仿宋" w:cs="仿宋"/>
                <w:sz w:val="21"/>
              </w:rPr>
            </w:pPr>
            <w:r>
              <w:rPr>
                <w:rFonts w:hint="eastAsia" w:ascii="仿宋" w:hAnsi="仿宋" w:cs="仿宋"/>
                <w:sz w:val="21"/>
              </w:rPr>
              <w:t>测点</w:t>
            </w:r>
          </w:p>
        </w:tc>
        <w:tc>
          <w:tcPr>
            <w:tcW w:w="732" w:type="pct"/>
            <w:vAlign w:val="center"/>
          </w:tcPr>
          <w:p w14:paraId="43D913BF">
            <w:pPr>
              <w:jc w:val="center"/>
              <w:textAlignment w:val="bottom"/>
              <w:rPr>
                <w:rFonts w:ascii="仿宋" w:hAnsi="仿宋" w:cs="仿宋"/>
                <w:sz w:val="21"/>
              </w:rPr>
            </w:pPr>
            <w:r>
              <w:rPr>
                <w:rFonts w:hint="eastAsia" w:ascii="仿宋" w:hAnsi="仿宋" w:cs="仿宋"/>
                <w:sz w:val="21"/>
              </w:rPr>
              <w:t>读写</w:t>
            </w:r>
          </w:p>
        </w:tc>
        <w:tc>
          <w:tcPr>
            <w:tcW w:w="746" w:type="pct"/>
            <w:vAlign w:val="center"/>
          </w:tcPr>
          <w:p w14:paraId="3BAE9597">
            <w:pPr>
              <w:jc w:val="center"/>
              <w:textAlignment w:val="bottom"/>
              <w:rPr>
                <w:rFonts w:ascii="仿宋" w:hAnsi="仿宋" w:cs="仿宋"/>
                <w:sz w:val="21"/>
              </w:rPr>
            </w:pPr>
            <w:r>
              <w:rPr>
                <w:rFonts w:hint="eastAsia" w:ascii="仿宋" w:hAnsi="仿宋" w:cs="仿宋"/>
                <w:sz w:val="21"/>
              </w:rPr>
              <w:t>布尔型</w:t>
            </w:r>
          </w:p>
        </w:tc>
      </w:tr>
      <w:tr w14:paraId="2963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pct"/>
            <w:vAlign w:val="center"/>
          </w:tcPr>
          <w:p w14:paraId="65182505">
            <w:pPr>
              <w:spacing w:line="360" w:lineRule="auto"/>
              <w:rPr>
                <w:rFonts w:ascii="仿宋" w:hAnsi="仿宋" w:cs="仿宋"/>
                <w:sz w:val="21"/>
              </w:rPr>
            </w:pPr>
            <w:r>
              <w:rPr>
                <w:rFonts w:hint="eastAsia" w:ascii="仿宋" w:hAnsi="仿宋" w:cs="仿宋"/>
                <w:sz w:val="21"/>
              </w:rPr>
              <w:t>设备基本信息</w:t>
            </w:r>
          </w:p>
        </w:tc>
        <w:tc>
          <w:tcPr>
            <w:tcW w:w="3791" w:type="pct"/>
            <w:gridSpan w:val="5"/>
            <w:vAlign w:val="center"/>
          </w:tcPr>
          <w:p w14:paraId="14B9EFEE">
            <w:pPr>
              <w:textAlignment w:val="bottom"/>
              <w:rPr>
                <w:rFonts w:ascii="仿宋" w:hAnsi="仿宋" w:cs="仿宋"/>
                <w:sz w:val="21"/>
              </w:rPr>
            </w:pPr>
            <w:r>
              <w:rPr>
                <w:rFonts w:hint="eastAsia" w:ascii="仿宋" w:hAnsi="仿宋" w:cs="仿宋"/>
                <w:sz w:val="21"/>
              </w:rPr>
              <w:t>设备名称：供水设备+工位号</w:t>
            </w:r>
          </w:p>
          <w:p w14:paraId="12D868FA">
            <w:pPr>
              <w:textAlignment w:val="bottom"/>
              <w:rPr>
                <w:rFonts w:ascii="仿宋" w:hAnsi="仿宋" w:cs="仿宋"/>
                <w:sz w:val="21"/>
              </w:rPr>
            </w:pPr>
            <w:r>
              <w:rPr>
                <w:rFonts w:hint="eastAsia" w:ascii="仿宋" w:hAnsi="仿宋" w:cs="仿宋"/>
                <w:sz w:val="21"/>
              </w:rPr>
              <w:t>设备标识：gongshuiDev+工位号</w:t>
            </w:r>
          </w:p>
        </w:tc>
      </w:tr>
    </w:tbl>
    <w:p w14:paraId="025B5CFB">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任务要求：</w:t>
      </w:r>
    </w:p>
    <w:p w14:paraId="45A664FC">
      <w:pPr>
        <w:widowControl w:val="0"/>
        <w:numPr>
          <w:ilvl w:val="0"/>
          <w:numId w:val="16"/>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根据模型信息表完成设备模型功能定义，包含台账、属性和命令等</w:t>
      </w:r>
    </w:p>
    <w:p w14:paraId="71E3DA90">
      <w:pPr>
        <w:widowControl w:val="0"/>
        <w:numPr>
          <w:ilvl w:val="0"/>
          <w:numId w:val="16"/>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完成供水设备的创建</w:t>
      </w:r>
    </w:p>
    <w:p w14:paraId="12E4CFB2">
      <w:pPr>
        <w:widowControl w:val="0"/>
        <w:numPr>
          <w:ilvl w:val="0"/>
          <w:numId w:val="15"/>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提交内容：</w:t>
      </w:r>
    </w:p>
    <w:p w14:paraId="7CDBDE81">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截图模型列表页面，将截图粘贴到答题卡中</w:t>
      </w:r>
    </w:p>
    <w:p w14:paraId="308CAF7C">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截图模型台账列表页面，将截图粘贴到答题卡中</w:t>
      </w:r>
    </w:p>
    <w:p w14:paraId="505C1735">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截图模型列表属性导出Excel页面，将截图粘贴到答题卡中</w:t>
      </w:r>
    </w:p>
    <w:p w14:paraId="264219CE">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截图设备资产列表页面，将截图粘贴到答题卡中</w:t>
      </w:r>
    </w:p>
    <w:p w14:paraId="19A98FD0">
      <w:pPr>
        <w:widowControl w:val="0"/>
        <w:numPr>
          <w:ilvl w:val="0"/>
          <w:numId w:val="17"/>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截图设备监控-运行状态页面，将截图粘贴到答题卡中</w:t>
      </w:r>
    </w:p>
    <w:p w14:paraId="227ACB2D">
      <w:pPr>
        <w:spacing w:line="360" w:lineRule="auto"/>
        <w:rPr>
          <w:rFonts w:ascii="宋体" w:hAnsi="宋体"/>
          <w:b/>
          <w:bCs/>
          <w:sz w:val="24"/>
        </w:rPr>
      </w:pPr>
    </w:p>
    <w:p w14:paraId="3EBABB98">
      <w:pPr>
        <w:snapToGrid/>
        <w:spacing w:before="272" w:line="360" w:lineRule="auto"/>
        <w:ind w:right="85"/>
        <w:jc w:val="both"/>
        <w:rPr>
          <w:rFonts w:ascii="仿宋_GB2312" w:hAnsi="仿宋_GB2312" w:eastAsia="仿宋_GB2312" w:cs="仿宋_GB2312"/>
          <w:b/>
          <w:bCs/>
          <w:color w:val="auto"/>
          <w:spacing w:val="-3"/>
        </w:rPr>
      </w:pPr>
      <w:r>
        <w:rPr>
          <w:rFonts w:hint="eastAsia" w:ascii="仿宋_GB2312" w:hAnsi="仿宋_GB2312" w:eastAsia="仿宋_GB2312" w:cs="仿宋_GB2312"/>
          <w:b/>
          <w:bCs/>
          <w:color w:val="auto"/>
          <w:spacing w:val="-3"/>
        </w:rPr>
        <w:t>任务2数据可视化分析（40分）</w:t>
      </w:r>
    </w:p>
    <w:p w14:paraId="4B50057F">
      <w:pPr>
        <w:spacing w:line="360" w:lineRule="auto"/>
        <w:jc w:val="center"/>
        <w:rPr>
          <w:rFonts w:ascii="宋体" w:hAnsi="宋体"/>
          <w:b/>
          <w:bCs/>
          <w:sz w:val="24"/>
        </w:rPr>
      </w:pPr>
      <w:r>
        <w:drawing>
          <wp:inline distT="0" distB="0" distL="114300" distR="114300">
            <wp:extent cx="5269230" cy="35166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3516630"/>
                    </a:xfrm>
                    <a:prstGeom prst="rect">
                      <a:avLst/>
                    </a:prstGeom>
                    <a:noFill/>
                    <a:ln>
                      <a:noFill/>
                    </a:ln>
                  </pic:spPr>
                </pic:pic>
              </a:graphicData>
            </a:graphic>
          </wp:inline>
        </w:drawing>
      </w:r>
    </w:p>
    <w:p w14:paraId="2A507410">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任务描述</w:t>
      </w:r>
    </w:p>
    <w:p w14:paraId="3FC78D54">
      <w:pPr>
        <w:snapToGrid/>
        <w:spacing w:before="272" w:line="360" w:lineRule="auto"/>
        <w:ind w:left="6" w:right="85" w:firstLine="561"/>
        <w:jc w:val="both"/>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根据提供的数据，完成可视化页面搭建，实现实时监控仿真设备的运行状态。</w:t>
      </w:r>
    </w:p>
    <w:p w14:paraId="53856A62">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任务要求：</w:t>
      </w:r>
    </w:p>
    <w:p w14:paraId="52E83AEE">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完成PC端仿真设备可视化页面绘制，页面宽1200，高800</w:t>
      </w:r>
    </w:p>
    <w:p w14:paraId="7A9F91C2">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水位状态监测，正常显示绿色，报警显示红色</w:t>
      </w:r>
    </w:p>
    <w:p w14:paraId="37328323">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设备报警信息实现文本纵向滚动，显示设备名称---设备报警信息---报警时间，显示3条数据</w:t>
      </w:r>
    </w:p>
    <w:p w14:paraId="39AAF98A">
      <w:pPr>
        <w:widowControl w:val="0"/>
        <w:numPr>
          <w:ilvl w:val="0"/>
          <w:numId w:val="19"/>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设备保养计划静态数据显示设备名称、保养计划、保养时间，显示4条信息</w:t>
      </w:r>
    </w:p>
    <w:p w14:paraId="383DCBE4">
      <w:pPr>
        <w:pStyle w:val="26"/>
        <w:tabs>
          <w:tab w:val="left" w:pos="420"/>
        </w:tabs>
        <w:spacing w:line="440" w:lineRule="exact"/>
        <w:ind w:left="560" w:leftChars="200" w:firstLine="0" w:firstLineChars="0"/>
        <w:rPr>
          <w:rFonts w:ascii="宋体" w:hAnsi="宋体"/>
          <w:sz w:val="24"/>
        </w:rPr>
      </w:pPr>
    </w:p>
    <w:p w14:paraId="2306147E">
      <w:pPr>
        <w:widowControl w:val="0"/>
        <w:numPr>
          <w:ilvl w:val="0"/>
          <w:numId w:val="18"/>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提交内容：</w:t>
      </w:r>
    </w:p>
    <w:p w14:paraId="5F762013">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截图PC端可视化页面，将截图粘贴到答题卡中</w:t>
      </w:r>
    </w:p>
    <w:p w14:paraId="29FC3862">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截图PC端温度图元绑定数据表页面，将截图粘贴到答题卡中</w:t>
      </w:r>
    </w:p>
    <w:p w14:paraId="4B5DD155">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截图PC端水质监测图元绑定数据表页面，将截图粘贴到答题卡中</w:t>
      </w:r>
    </w:p>
    <w:p w14:paraId="75537A41">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截图PC端PH监测图元绑定数据表页面，将截图粘贴到答题卡中</w:t>
      </w:r>
    </w:p>
    <w:p w14:paraId="60325C90">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截图PC端设备报警信息图元滚动内容设置，将截图粘贴到答题卡中</w:t>
      </w:r>
    </w:p>
    <w:p w14:paraId="666F10A6">
      <w:pPr>
        <w:widowControl w:val="0"/>
        <w:numPr>
          <w:ilvl w:val="0"/>
          <w:numId w:val="20"/>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截图PC端设备保养计划图元绑定数据表页面，将截图粘贴到答题卡中</w:t>
      </w:r>
    </w:p>
    <w:p w14:paraId="526143B9">
      <w:pPr>
        <w:spacing w:line="360" w:lineRule="auto"/>
        <w:rPr>
          <w:rFonts w:ascii="宋体" w:hAnsi="宋体"/>
          <w:b/>
          <w:bCs/>
          <w:sz w:val="24"/>
        </w:rPr>
      </w:pPr>
    </w:p>
    <w:p w14:paraId="507375FF">
      <w:pPr>
        <w:spacing w:line="360" w:lineRule="auto"/>
        <w:rPr>
          <w:rFonts w:ascii="宋体" w:hAnsi="宋体"/>
          <w:b/>
          <w:bCs/>
          <w:sz w:val="24"/>
        </w:rPr>
      </w:pPr>
      <w:r>
        <w:rPr>
          <w:rFonts w:ascii="宋体" w:hAnsi="宋体"/>
          <w:b/>
          <w:bCs/>
          <w:sz w:val="24"/>
        </w:rPr>
        <w:t>任务</w:t>
      </w:r>
      <w:r>
        <w:rPr>
          <w:rFonts w:hint="eastAsia" w:ascii="宋体" w:hAnsi="宋体"/>
          <w:b/>
          <w:bCs/>
          <w:sz w:val="24"/>
        </w:rPr>
        <w:t>3工业互联网平台规则引擎应用（10分）</w:t>
      </w:r>
    </w:p>
    <w:p w14:paraId="0B45BF1B">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任务描述：</w:t>
      </w:r>
    </w:p>
    <w:p w14:paraId="2A3CE139">
      <w:pPr>
        <w:snapToGrid/>
        <w:spacing w:before="272" w:line="360" w:lineRule="auto"/>
        <w:ind w:left="6" w:right="85" w:firstLine="561"/>
        <w:jc w:val="both"/>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在生产过程中，需要对生产数据或生产设备实时监控，生产数据异常时或设备存在故障，产生实时报警，利于运维人员或生产人员及时排查设备故障或进行工艺参数调优。</w:t>
      </w:r>
    </w:p>
    <w:p w14:paraId="65E5137B">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任务要求：</w:t>
      </w:r>
    </w:p>
    <w:p w14:paraId="7F980DFA">
      <w:pPr>
        <w:widowControl w:val="0"/>
        <w:numPr>
          <w:ilvl w:val="0"/>
          <w:numId w:val="22"/>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完成电流和电压或频率大于额定值时，产生二级其他类报警</w:t>
      </w:r>
    </w:p>
    <w:p w14:paraId="3EA0D513">
      <w:pPr>
        <w:widowControl w:val="0"/>
        <w:numPr>
          <w:ilvl w:val="0"/>
          <w:numId w:val="22"/>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完成水质或水位报警时，产生一级预警类报警规则创建</w:t>
      </w:r>
    </w:p>
    <w:p w14:paraId="7CC6B842">
      <w:pPr>
        <w:widowControl w:val="0"/>
        <w:numPr>
          <w:ilvl w:val="0"/>
          <w:numId w:val="21"/>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rPr>
      </w:pPr>
      <w:r>
        <w:rPr>
          <w:rFonts w:hint="eastAsia" w:ascii="仿宋_GB2312" w:hAnsi="仿宋_GB2312" w:eastAsia="仿宋_GB2312" w:cs="仿宋_GB2312"/>
          <w:color w:val="auto"/>
          <w:spacing w:val="-3"/>
        </w:rPr>
        <w:t>提交内容：</w:t>
      </w:r>
    </w:p>
    <w:p w14:paraId="69CD4DC7">
      <w:pPr>
        <w:widowControl w:val="0"/>
        <w:numPr>
          <w:ilvl w:val="0"/>
          <w:numId w:val="23"/>
        </w:numPr>
        <w:shd w:val="clear" w:color="auto" w:fill="auto"/>
        <w:kinsoku/>
        <w:autoSpaceDE/>
        <w:autoSpaceDN/>
        <w:adjustRightInd/>
        <w:snapToGrid/>
        <w:spacing w:before="272" w:line="360" w:lineRule="auto"/>
        <w:ind w:right="85"/>
        <w:jc w:val="both"/>
        <w:textAlignment w:val="auto"/>
        <w:rPr>
          <w:rFonts w:ascii="仿宋_GB2312" w:hAnsi="仿宋_GB2312" w:eastAsia="仿宋_GB2312" w:cs="仿宋_GB2312"/>
          <w:color w:val="auto"/>
          <w:spacing w:val="-3"/>
          <w:sz w:val="24"/>
          <w:szCs w:val="24"/>
        </w:rPr>
      </w:pPr>
      <w:r>
        <w:rPr>
          <w:rFonts w:hint="eastAsia" w:ascii="仿宋_GB2312" w:hAnsi="仿宋_GB2312" w:eastAsia="仿宋_GB2312" w:cs="仿宋_GB2312"/>
          <w:color w:val="auto"/>
          <w:spacing w:val="-3"/>
          <w:sz w:val="24"/>
          <w:szCs w:val="24"/>
        </w:rPr>
        <w:t>在规则应用中，截图二级其他类型告警的规则详情，将截图粘贴到答题卡中</w:t>
      </w:r>
    </w:p>
    <w:p w14:paraId="561863AF">
      <w:pPr>
        <w:widowControl w:val="0"/>
        <w:numPr>
          <w:ilvl w:val="0"/>
          <w:numId w:val="23"/>
        </w:numPr>
        <w:shd w:val="clear" w:color="auto" w:fill="auto"/>
        <w:kinsoku/>
        <w:autoSpaceDE/>
        <w:autoSpaceDN/>
        <w:adjustRightInd/>
        <w:snapToGrid/>
        <w:spacing w:before="272" w:line="360" w:lineRule="auto"/>
        <w:ind w:right="85"/>
        <w:jc w:val="both"/>
        <w:textAlignment w:val="auto"/>
        <w:rPr>
          <w:rFonts w:ascii="宋体" w:hAnsi="宋体"/>
          <w:sz w:val="24"/>
        </w:rPr>
      </w:pPr>
      <w:r>
        <w:rPr>
          <w:rFonts w:hint="eastAsia" w:ascii="仿宋_GB2312" w:hAnsi="仿宋_GB2312" w:eastAsia="仿宋_GB2312" w:cs="仿宋_GB2312"/>
          <w:color w:val="auto"/>
          <w:spacing w:val="-3"/>
          <w:sz w:val="24"/>
          <w:szCs w:val="24"/>
        </w:rPr>
        <w:t>在规则应用中，截图一级预警类规则详情，将截图粘贴到答题卡中</w:t>
      </w:r>
    </w:p>
    <w:p w14:paraId="0C90DD6D">
      <w:pPr>
        <w:snapToGrid/>
        <w:spacing w:before="272" w:line="360" w:lineRule="auto"/>
        <w:ind w:left="420" w:right="85"/>
        <w:jc w:val="both"/>
        <w:rPr>
          <w:color w:val="auto"/>
        </w:rPr>
      </w:pPr>
      <w:r>
        <w:rPr>
          <w:rFonts w:ascii="仿宋_GB2312" w:hAnsi="仿宋_GB2312" w:eastAsia="仿宋_GB2312" w:cs="仿宋_GB2312"/>
          <w:b/>
          <w:color w:val="auto"/>
          <w:spacing w:val="-3"/>
        </w:rPr>
        <w:t>职业素养（10分）</w:t>
      </w:r>
    </w:p>
    <w:p w14:paraId="7D9E9164">
      <w:pPr>
        <w:snapToGrid/>
        <w:spacing w:before="272" w:line="360" w:lineRule="auto"/>
        <w:ind w:left="6" w:right="85" w:firstLine="561"/>
        <w:jc w:val="both"/>
        <w:rPr>
          <w:color w:val="auto"/>
          <w:sz w:val="24"/>
          <w:szCs w:val="24"/>
        </w:rPr>
      </w:pPr>
      <w:r>
        <w:rPr>
          <w:rFonts w:ascii="仿宋_GB2312" w:hAnsi="仿宋_GB2312" w:eastAsia="仿宋_GB2312" w:cs="仿宋_GB2312"/>
          <w:color w:val="auto"/>
          <w:spacing w:val="-3"/>
          <w:sz w:val="24"/>
          <w:szCs w:val="24"/>
        </w:rPr>
        <w:t>现场操作安全保护：符合安全操作规程。</w:t>
      </w:r>
    </w:p>
    <w:p w14:paraId="7CEFB196">
      <w:pPr>
        <w:snapToGrid/>
        <w:spacing w:before="272" w:line="360" w:lineRule="auto"/>
        <w:ind w:left="6" w:right="85" w:firstLine="561"/>
        <w:jc w:val="both"/>
        <w:rPr>
          <w:color w:val="auto"/>
          <w:sz w:val="24"/>
          <w:szCs w:val="24"/>
        </w:rPr>
      </w:pPr>
      <w:r>
        <w:rPr>
          <w:rFonts w:ascii="仿宋_GB2312" w:hAnsi="仿宋_GB2312" w:eastAsia="仿宋_GB2312" w:cs="仿宋_GB2312"/>
          <w:color w:val="auto"/>
          <w:spacing w:val="-3"/>
          <w:sz w:val="24"/>
          <w:szCs w:val="24"/>
        </w:rPr>
        <w:t>操作岗位：设施摆放、工位整洁等的处理符合职业岗位标准。</w:t>
      </w:r>
    </w:p>
    <w:p w14:paraId="30CD76B5">
      <w:pPr>
        <w:snapToGrid/>
        <w:spacing w:before="272" w:line="360" w:lineRule="auto"/>
        <w:ind w:left="6" w:right="85" w:firstLine="561"/>
        <w:jc w:val="both"/>
        <w:rPr>
          <w:color w:val="auto"/>
        </w:rPr>
      </w:pPr>
      <w:r>
        <w:rPr>
          <w:rFonts w:ascii="仿宋_GB2312" w:hAnsi="仿宋_GB2312" w:eastAsia="仿宋_GB2312" w:cs="仿宋_GB2312"/>
          <w:color w:val="auto"/>
          <w:spacing w:val="-3"/>
          <w:sz w:val="24"/>
          <w:szCs w:val="24"/>
        </w:rPr>
        <w:t>选手参赛纪律：遵守赛场纪律，尊重赛场工作人员，爱惜赛场的设施和器材。</w:t>
      </w:r>
    </w:p>
    <w:p w14:paraId="40E53A0D">
      <w:pPr>
        <w:rPr>
          <w:rFonts w:ascii="仿宋_GB2312" w:eastAsia="仿宋_GB2312"/>
        </w:rPr>
      </w:pPr>
    </w:p>
    <w:sectPr>
      <w:pgSz w:w="11906" w:h="16838"/>
      <w:pgMar w:top="1361" w:right="1417" w:bottom="1361" w:left="1417" w:header="712" w:footer="853"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orHAnsi">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GB">
    <w:altName w:val="仿宋"/>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1764642"/>
      <w:docPartObj>
        <w:docPartGallery w:val="autotext"/>
      </w:docPartObj>
    </w:sdtPr>
    <w:sdtContent>
      <w:p w14:paraId="72F69D0B">
        <w:pPr>
          <w:pStyle w:val="8"/>
          <w:jc w:val="center"/>
        </w:pPr>
        <w:r>
          <w:fldChar w:fldCharType="begin"/>
        </w:r>
        <w:r>
          <w:instrText xml:space="preserve"> PAGE   \* MERGEFORMAT </w:instrText>
        </w:r>
        <w:r>
          <w:fldChar w:fldCharType="separate"/>
        </w:r>
        <w:r>
          <w:rPr>
            <w:lang w:val="zh-CN"/>
          </w:rPr>
          <w:t>-</w:t>
        </w:r>
        <w:r>
          <w:t xml:space="preserve"> 29 -</w:t>
        </w:r>
        <w:r>
          <w:fldChar w:fldCharType="end"/>
        </w:r>
      </w:p>
    </w:sdtContent>
  </w:sdt>
  <w:p w14:paraId="7F6E5F41">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F6168"/>
    <w:multiLevelType w:val="singleLevel"/>
    <w:tmpl w:val="828F6168"/>
    <w:lvl w:ilvl="0" w:tentative="0">
      <w:start w:val="1"/>
      <w:numFmt w:val="chineseCounting"/>
      <w:suff w:val="nothing"/>
      <w:lvlText w:val="（%1）"/>
      <w:lvlJc w:val="left"/>
      <w:pPr>
        <w:ind w:left="0" w:firstLine="420"/>
      </w:pPr>
      <w:rPr>
        <w:rFonts w:hint="eastAsia"/>
      </w:rPr>
    </w:lvl>
  </w:abstractNum>
  <w:abstractNum w:abstractNumId="1">
    <w:nsid w:val="9E4ABFAF"/>
    <w:multiLevelType w:val="singleLevel"/>
    <w:tmpl w:val="9E4ABFAF"/>
    <w:lvl w:ilvl="0" w:tentative="0">
      <w:start w:val="1"/>
      <w:numFmt w:val="decimal"/>
      <w:lvlText w:val="%1."/>
      <w:lvlJc w:val="left"/>
      <w:pPr>
        <w:tabs>
          <w:tab w:val="left" w:pos="420"/>
        </w:tabs>
        <w:ind w:left="845" w:hanging="425"/>
      </w:pPr>
      <w:rPr>
        <w:rFonts w:hint="default"/>
      </w:rPr>
    </w:lvl>
  </w:abstractNum>
  <w:abstractNum w:abstractNumId="2">
    <w:nsid w:val="A29732ED"/>
    <w:multiLevelType w:val="singleLevel"/>
    <w:tmpl w:val="A29732ED"/>
    <w:lvl w:ilvl="0" w:tentative="0">
      <w:start w:val="1"/>
      <w:numFmt w:val="decimal"/>
      <w:lvlText w:val="(%1)"/>
      <w:lvlJc w:val="left"/>
      <w:pPr>
        <w:ind w:left="425" w:hanging="425"/>
      </w:pPr>
      <w:rPr>
        <w:rFonts w:hint="default"/>
      </w:rPr>
    </w:lvl>
  </w:abstractNum>
  <w:abstractNum w:abstractNumId="3">
    <w:nsid w:val="C81C4559"/>
    <w:multiLevelType w:val="singleLevel"/>
    <w:tmpl w:val="C81C4559"/>
    <w:lvl w:ilvl="0" w:tentative="0">
      <w:start w:val="1"/>
      <w:numFmt w:val="decimal"/>
      <w:lvlText w:val="%1."/>
      <w:lvlJc w:val="left"/>
      <w:pPr>
        <w:tabs>
          <w:tab w:val="left" w:pos="420"/>
        </w:tabs>
        <w:ind w:left="845" w:hanging="425"/>
      </w:pPr>
      <w:rPr>
        <w:rFonts w:hint="default"/>
      </w:rPr>
    </w:lvl>
  </w:abstractNum>
  <w:abstractNum w:abstractNumId="4">
    <w:nsid w:val="D4689B72"/>
    <w:multiLevelType w:val="singleLevel"/>
    <w:tmpl w:val="D4689B72"/>
    <w:lvl w:ilvl="0" w:tentative="0">
      <w:start w:val="1"/>
      <w:numFmt w:val="chineseCounting"/>
      <w:suff w:val="nothing"/>
      <w:lvlText w:val="（%1）"/>
      <w:lvlJc w:val="left"/>
      <w:pPr>
        <w:ind w:left="0" w:firstLine="420"/>
      </w:pPr>
      <w:rPr>
        <w:rFonts w:hint="eastAsia"/>
      </w:rPr>
    </w:lvl>
  </w:abstractNum>
  <w:abstractNum w:abstractNumId="5">
    <w:nsid w:val="D940CFA8"/>
    <w:multiLevelType w:val="singleLevel"/>
    <w:tmpl w:val="D940CFA8"/>
    <w:lvl w:ilvl="0" w:tentative="0">
      <w:start w:val="1"/>
      <w:numFmt w:val="decimal"/>
      <w:lvlText w:val="%1)"/>
      <w:lvlJc w:val="left"/>
      <w:pPr>
        <w:tabs>
          <w:tab w:val="left" w:pos="420"/>
        </w:tabs>
        <w:ind w:left="845" w:hanging="425"/>
      </w:pPr>
      <w:rPr>
        <w:rFonts w:hint="default"/>
      </w:rPr>
    </w:lvl>
  </w:abstractNum>
  <w:abstractNum w:abstractNumId="6">
    <w:nsid w:val="FDF9DA0E"/>
    <w:multiLevelType w:val="singleLevel"/>
    <w:tmpl w:val="FDF9DA0E"/>
    <w:lvl w:ilvl="0" w:tentative="0">
      <w:start w:val="1"/>
      <w:numFmt w:val="decimal"/>
      <w:lvlText w:val="(%1)"/>
      <w:lvlJc w:val="left"/>
      <w:pPr>
        <w:ind w:left="425" w:hanging="425"/>
      </w:pPr>
      <w:rPr>
        <w:rFonts w:hint="default"/>
      </w:rPr>
    </w:lvl>
  </w:abstractNum>
  <w:abstractNum w:abstractNumId="7">
    <w:nsid w:val="0339FB67"/>
    <w:multiLevelType w:val="singleLevel"/>
    <w:tmpl w:val="0339FB67"/>
    <w:lvl w:ilvl="0" w:tentative="0">
      <w:start w:val="1"/>
      <w:numFmt w:val="decimal"/>
      <w:lvlText w:val="(%1)"/>
      <w:lvlJc w:val="left"/>
      <w:pPr>
        <w:ind w:left="425" w:hanging="425"/>
      </w:pPr>
      <w:rPr>
        <w:rFonts w:hint="default"/>
      </w:rPr>
    </w:lvl>
  </w:abstractNum>
  <w:abstractNum w:abstractNumId="8">
    <w:nsid w:val="0C2FCBBA"/>
    <w:multiLevelType w:val="singleLevel"/>
    <w:tmpl w:val="0C2FCBBA"/>
    <w:lvl w:ilvl="0" w:tentative="0">
      <w:start w:val="1"/>
      <w:numFmt w:val="decimal"/>
      <w:lvlText w:val="%1)"/>
      <w:lvlJc w:val="left"/>
      <w:pPr>
        <w:tabs>
          <w:tab w:val="left" w:pos="420"/>
        </w:tabs>
        <w:ind w:left="845" w:hanging="425"/>
      </w:pPr>
      <w:rPr>
        <w:rFonts w:hint="default"/>
      </w:rPr>
    </w:lvl>
  </w:abstractNum>
  <w:abstractNum w:abstractNumId="9">
    <w:nsid w:val="134A83B8"/>
    <w:multiLevelType w:val="singleLevel"/>
    <w:tmpl w:val="134A83B8"/>
    <w:lvl w:ilvl="0" w:tentative="0">
      <w:start w:val="1"/>
      <w:numFmt w:val="decimal"/>
      <w:lvlText w:val="%1."/>
      <w:lvlJc w:val="left"/>
      <w:pPr>
        <w:tabs>
          <w:tab w:val="left" w:pos="420"/>
        </w:tabs>
        <w:ind w:left="845" w:hanging="425"/>
      </w:pPr>
      <w:rPr>
        <w:rFonts w:hint="default"/>
      </w:rPr>
    </w:lvl>
  </w:abstractNum>
  <w:abstractNum w:abstractNumId="10">
    <w:nsid w:val="1FE4C4E8"/>
    <w:multiLevelType w:val="singleLevel"/>
    <w:tmpl w:val="1FE4C4E8"/>
    <w:lvl w:ilvl="0" w:tentative="0">
      <w:start w:val="1"/>
      <w:numFmt w:val="decimal"/>
      <w:lvlText w:val="%1)"/>
      <w:lvlJc w:val="left"/>
      <w:pPr>
        <w:tabs>
          <w:tab w:val="left" w:pos="420"/>
        </w:tabs>
        <w:ind w:left="845" w:hanging="425"/>
      </w:pPr>
      <w:rPr>
        <w:rFonts w:hint="default"/>
      </w:rPr>
    </w:lvl>
  </w:abstractNum>
  <w:abstractNum w:abstractNumId="11">
    <w:nsid w:val="2541576F"/>
    <w:multiLevelType w:val="singleLevel"/>
    <w:tmpl w:val="2541576F"/>
    <w:lvl w:ilvl="0" w:tentative="0">
      <w:start w:val="4"/>
      <w:numFmt w:val="decimal"/>
      <w:suff w:val="nothing"/>
      <w:lvlText w:val="%1、"/>
      <w:lvlJc w:val="left"/>
    </w:lvl>
  </w:abstractNum>
  <w:abstractNum w:abstractNumId="12">
    <w:nsid w:val="270410C8"/>
    <w:multiLevelType w:val="multilevel"/>
    <w:tmpl w:val="270410C8"/>
    <w:lvl w:ilvl="0" w:tentative="0">
      <w:start w:val="1"/>
      <w:numFmt w:val="decimal"/>
      <w:lvlText w:val="%1."/>
      <w:lvlJc w:val="left"/>
      <w:pPr>
        <w:ind w:left="968" w:hanging="420"/>
      </w:pPr>
    </w:lvl>
    <w:lvl w:ilvl="1" w:tentative="0">
      <w:start w:val="1"/>
      <w:numFmt w:val="lowerLetter"/>
      <w:lvlText w:val="%2)"/>
      <w:lvlJc w:val="left"/>
      <w:pPr>
        <w:ind w:left="1388" w:hanging="420"/>
      </w:pPr>
    </w:lvl>
    <w:lvl w:ilvl="2" w:tentative="0">
      <w:start w:val="1"/>
      <w:numFmt w:val="lowerRoman"/>
      <w:lvlText w:val="%3."/>
      <w:lvlJc w:val="right"/>
      <w:pPr>
        <w:ind w:left="1808" w:hanging="420"/>
      </w:pPr>
    </w:lvl>
    <w:lvl w:ilvl="3" w:tentative="0">
      <w:start w:val="1"/>
      <w:numFmt w:val="decimal"/>
      <w:lvlText w:val="%4."/>
      <w:lvlJc w:val="left"/>
      <w:pPr>
        <w:ind w:left="2228" w:hanging="420"/>
      </w:pPr>
    </w:lvl>
    <w:lvl w:ilvl="4" w:tentative="0">
      <w:start w:val="1"/>
      <w:numFmt w:val="lowerLetter"/>
      <w:lvlText w:val="%5)"/>
      <w:lvlJc w:val="left"/>
      <w:pPr>
        <w:ind w:left="2648" w:hanging="420"/>
      </w:pPr>
    </w:lvl>
    <w:lvl w:ilvl="5" w:tentative="0">
      <w:start w:val="1"/>
      <w:numFmt w:val="lowerRoman"/>
      <w:lvlText w:val="%6."/>
      <w:lvlJc w:val="right"/>
      <w:pPr>
        <w:ind w:left="3068" w:hanging="420"/>
      </w:pPr>
    </w:lvl>
    <w:lvl w:ilvl="6" w:tentative="0">
      <w:start w:val="1"/>
      <w:numFmt w:val="decimal"/>
      <w:lvlText w:val="%7."/>
      <w:lvlJc w:val="left"/>
      <w:pPr>
        <w:ind w:left="3488" w:hanging="420"/>
      </w:pPr>
    </w:lvl>
    <w:lvl w:ilvl="7" w:tentative="0">
      <w:start w:val="1"/>
      <w:numFmt w:val="lowerLetter"/>
      <w:lvlText w:val="%8)"/>
      <w:lvlJc w:val="left"/>
      <w:pPr>
        <w:ind w:left="3908" w:hanging="420"/>
      </w:pPr>
    </w:lvl>
    <w:lvl w:ilvl="8" w:tentative="0">
      <w:start w:val="1"/>
      <w:numFmt w:val="lowerRoman"/>
      <w:lvlText w:val="%9."/>
      <w:lvlJc w:val="right"/>
      <w:pPr>
        <w:ind w:left="4328" w:hanging="420"/>
      </w:pPr>
    </w:lvl>
  </w:abstractNum>
  <w:abstractNum w:abstractNumId="13">
    <w:nsid w:val="2D013261"/>
    <w:multiLevelType w:val="singleLevel"/>
    <w:tmpl w:val="2D013261"/>
    <w:lvl w:ilvl="0" w:tentative="0">
      <w:start w:val="1"/>
      <w:numFmt w:val="decimal"/>
      <w:lvlText w:val="%1."/>
      <w:lvlJc w:val="left"/>
      <w:pPr>
        <w:tabs>
          <w:tab w:val="left" w:pos="312"/>
        </w:tabs>
      </w:pPr>
    </w:lvl>
  </w:abstractNum>
  <w:abstractNum w:abstractNumId="14">
    <w:nsid w:val="382BD67A"/>
    <w:multiLevelType w:val="singleLevel"/>
    <w:tmpl w:val="382BD67A"/>
    <w:lvl w:ilvl="0" w:tentative="0">
      <w:start w:val="1"/>
      <w:numFmt w:val="decimal"/>
      <w:lvlText w:val="%1)"/>
      <w:lvlJc w:val="left"/>
      <w:pPr>
        <w:tabs>
          <w:tab w:val="left" w:pos="420"/>
        </w:tabs>
        <w:ind w:left="845" w:hanging="425"/>
      </w:pPr>
      <w:rPr>
        <w:rFonts w:hint="default"/>
      </w:rPr>
    </w:lvl>
  </w:abstractNum>
  <w:abstractNum w:abstractNumId="15">
    <w:nsid w:val="3F54E394"/>
    <w:multiLevelType w:val="singleLevel"/>
    <w:tmpl w:val="3F54E394"/>
    <w:lvl w:ilvl="0" w:tentative="0">
      <w:start w:val="1"/>
      <w:numFmt w:val="decimal"/>
      <w:lvlText w:val="%1."/>
      <w:lvlJc w:val="left"/>
      <w:pPr>
        <w:tabs>
          <w:tab w:val="left" w:pos="420"/>
        </w:tabs>
        <w:ind w:left="845" w:hanging="425"/>
      </w:pPr>
      <w:rPr>
        <w:rFonts w:hint="default"/>
      </w:rPr>
    </w:lvl>
  </w:abstractNum>
  <w:abstractNum w:abstractNumId="16">
    <w:nsid w:val="5CDB24DD"/>
    <w:multiLevelType w:val="singleLevel"/>
    <w:tmpl w:val="5CDB24DD"/>
    <w:lvl w:ilvl="0" w:tentative="0">
      <w:start w:val="1"/>
      <w:numFmt w:val="decimal"/>
      <w:lvlText w:val="(%1)"/>
      <w:lvlJc w:val="left"/>
      <w:pPr>
        <w:ind w:left="425" w:hanging="425"/>
      </w:pPr>
      <w:rPr>
        <w:rFonts w:hint="default"/>
      </w:rPr>
    </w:lvl>
  </w:abstractNum>
  <w:abstractNum w:abstractNumId="17">
    <w:nsid w:val="6358C45E"/>
    <w:multiLevelType w:val="singleLevel"/>
    <w:tmpl w:val="6358C45E"/>
    <w:lvl w:ilvl="0" w:tentative="0">
      <w:start w:val="1"/>
      <w:numFmt w:val="decimal"/>
      <w:lvlText w:val="%1."/>
      <w:lvlJc w:val="left"/>
      <w:pPr>
        <w:tabs>
          <w:tab w:val="left" w:pos="420"/>
        </w:tabs>
        <w:ind w:left="845" w:hanging="425"/>
      </w:pPr>
      <w:rPr>
        <w:rFonts w:hint="default"/>
      </w:rPr>
    </w:lvl>
  </w:abstractNum>
  <w:abstractNum w:abstractNumId="18">
    <w:nsid w:val="74E1A2D8"/>
    <w:multiLevelType w:val="singleLevel"/>
    <w:tmpl w:val="74E1A2D8"/>
    <w:lvl w:ilvl="0" w:tentative="0">
      <w:start w:val="1"/>
      <w:numFmt w:val="decimal"/>
      <w:lvlText w:val="%1."/>
      <w:lvlJc w:val="left"/>
      <w:pPr>
        <w:tabs>
          <w:tab w:val="left" w:pos="420"/>
        </w:tabs>
        <w:ind w:left="845" w:hanging="425"/>
      </w:pPr>
      <w:rPr>
        <w:rFonts w:hint="default"/>
      </w:rPr>
    </w:lvl>
  </w:abstractNum>
  <w:abstractNum w:abstractNumId="19">
    <w:nsid w:val="75EE0132"/>
    <w:multiLevelType w:val="singleLevel"/>
    <w:tmpl w:val="75EE0132"/>
    <w:lvl w:ilvl="0" w:tentative="0">
      <w:start w:val="1"/>
      <w:numFmt w:val="decimal"/>
      <w:lvlText w:val="(%1)"/>
      <w:lvlJc w:val="left"/>
      <w:pPr>
        <w:ind w:left="425" w:hanging="425"/>
      </w:pPr>
      <w:rPr>
        <w:rFonts w:hint="default"/>
      </w:rPr>
    </w:lvl>
  </w:abstractNum>
  <w:abstractNum w:abstractNumId="20">
    <w:nsid w:val="78A778C7"/>
    <w:multiLevelType w:val="singleLevel"/>
    <w:tmpl w:val="78A778C7"/>
    <w:lvl w:ilvl="0" w:tentative="0">
      <w:start w:val="1"/>
      <w:numFmt w:val="decimal"/>
      <w:lvlText w:val="(%1)"/>
      <w:lvlJc w:val="left"/>
      <w:pPr>
        <w:ind w:left="425" w:hanging="425"/>
      </w:pPr>
      <w:rPr>
        <w:rFonts w:hint="default"/>
      </w:rPr>
    </w:lvl>
  </w:abstractNum>
  <w:abstractNum w:abstractNumId="21">
    <w:nsid w:val="7978B433"/>
    <w:multiLevelType w:val="singleLevel"/>
    <w:tmpl w:val="7978B433"/>
    <w:lvl w:ilvl="0" w:tentative="0">
      <w:start w:val="1"/>
      <w:numFmt w:val="decimal"/>
      <w:lvlText w:val="(%1)"/>
      <w:lvlJc w:val="left"/>
      <w:pPr>
        <w:ind w:left="425" w:hanging="425"/>
      </w:pPr>
      <w:rPr>
        <w:rFonts w:hint="default"/>
      </w:rPr>
    </w:lvl>
  </w:abstractNum>
  <w:abstractNum w:abstractNumId="22">
    <w:nsid w:val="7E0A96E1"/>
    <w:multiLevelType w:val="singleLevel"/>
    <w:tmpl w:val="7E0A96E1"/>
    <w:lvl w:ilvl="0" w:tentative="0">
      <w:start w:val="1"/>
      <w:numFmt w:val="chineseCounting"/>
      <w:suff w:val="nothing"/>
      <w:lvlText w:val="（%1）"/>
      <w:lvlJc w:val="left"/>
      <w:pPr>
        <w:ind w:left="0" w:firstLine="420"/>
      </w:pPr>
      <w:rPr>
        <w:rFonts w:hint="eastAsia"/>
      </w:rPr>
    </w:lvl>
  </w:abstractNum>
  <w:num w:numId="1">
    <w:abstractNumId w:val="12"/>
  </w:num>
  <w:num w:numId="2">
    <w:abstractNumId w:val="6"/>
  </w:num>
  <w:num w:numId="3">
    <w:abstractNumId w:val="11"/>
  </w:num>
  <w:num w:numId="4">
    <w:abstractNumId w:val="21"/>
  </w:num>
  <w:num w:numId="5">
    <w:abstractNumId w:val="19"/>
  </w:num>
  <w:num w:numId="6">
    <w:abstractNumId w:val="7"/>
  </w:num>
  <w:num w:numId="7">
    <w:abstractNumId w:val="16"/>
  </w:num>
  <w:num w:numId="8">
    <w:abstractNumId w:val="2"/>
  </w:num>
  <w:num w:numId="9">
    <w:abstractNumId w:val="8"/>
  </w:num>
  <w:num w:numId="10">
    <w:abstractNumId w:val="14"/>
  </w:num>
  <w:num w:numId="11">
    <w:abstractNumId w:val="5"/>
  </w:num>
  <w:num w:numId="12">
    <w:abstractNumId w:val="10"/>
  </w:num>
  <w:num w:numId="13">
    <w:abstractNumId w:val="20"/>
  </w:num>
  <w:num w:numId="14">
    <w:abstractNumId w:val="13"/>
  </w:num>
  <w:num w:numId="15">
    <w:abstractNumId w:val="0"/>
  </w:num>
  <w:num w:numId="16">
    <w:abstractNumId w:val="15"/>
  </w:num>
  <w:num w:numId="17">
    <w:abstractNumId w:val="17"/>
  </w:num>
  <w:num w:numId="18">
    <w:abstractNumId w:val="22"/>
  </w:num>
  <w:num w:numId="19">
    <w:abstractNumId w:val="1"/>
  </w:num>
  <w:num w:numId="20">
    <w:abstractNumId w:val="18"/>
  </w:num>
  <w:num w:numId="21">
    <w:abstractNumId w:val="4"/>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9C"/>
    <w:rsid w:val="00007CF4"/>
    <w:rsid w:val="00013F6C"/>
    <w:rsid w:val="00031D9C"/>
    <w:rsid w:val="0007218B"/>
    <w:rsid w:val="000C40F8"/>
    <w:rsid w:val="00135A0A"/>
    <w:rsid w:val="00182AE1"/>
    <w:rsid w:val="0019712C"/>
    <w:rsid w:val="0022515F"/>
    <w:rsid w:val="002273E2"/>
    <w:rsid w:val="00262EEC"/>
    <w:rsid w:val="002905F1"/>
    <w:rsid w:val="00294AAE"/>
    <w:rsid w:val="002E35FF"/>
    <w:rsid w:val="0031258C"/>
    <w:rsid w:val="00337A70"/>
    <w:rsid w:val="00367FA1"/>
    <w:rsid w:val="003B22B4"/>
    <w:rsid w:val="003D0CAD"/>
    <w:rsid w:val="003D40C5"/>
    <w:rsid w:val="0049512B"/>
    <w:rsid w:val="004D1614"/>
    <w:rsid w:val="004D26D2"/>
    <w:rsid w:val="0050139E"/>
    <w:rsid w:val="00525B56"/>
    <w:rsid w:val="00550F2A"/>
    <w:rsid w:val="005D6635"/>
    <w:rsid w:val="005D793C"/>
    <w:rsid w:val="005F7B00"/>
    <w:rsid w:val="00654437"/>
    <w:rsid w:val="00661C3C"/>
    <w:rsid w:val="00685EEF"/>
    <w:rsid w:val="00697C33"/>
    <w:rsid w:val="006A42AD"/>
    <w:rsid w:val="006C136B"/>
    <w:rsid w:val="006C41F0"/>
    <w:rsid w:val="00703D9C"/>
    <w:rsid w:val="0079486E"/>
    <w:rsid w:val="007E47B3"/>
    <w:rsid w:val="00817368"/>
    <w:rsid w:val="00832077"/>
    <w:rsid w:val="008C6299"/>
    <w:rsid w:val="008E7B53"/>
    <w:rsid w:val="008F4F0B"/>
    <w:rsid w:val="00956A6C"/>
    <w:rsid w:val="00971E64"/>
    <w:rsid w:val="00973356"/>
    <w:rsid w:val="009D6F82"/>
    <w:rsid w:val="00A2427A"/>
    <w:rsid w:val="00A36543"/>
    <w:rsid w:val="00A97B09"/>
    <w:rsid w:val="00AA1F0A"/>
    <w:rsid w:val="00AB48FC"/>
    <w:rsid w:val="00B06390"/>
    <w:rsid w:val="00B20630"/>
    <w:rsid w:val="00B36AB9"/>
    <w:rsid w:val="00C71634"/>
    <w:rsid w:val="00CB6C9D"/>
    <w:rsid w:val="00D56C9C"/>
    <w:rsid w:val="00D87F08"/>
    <w:rsid w:val="00DB40B1"/>
    <w:rsid w:val="00DD624F"/>
    <w:rsid w:val="00E549A4"/>
    <w:rsid w:val="00E8057C"/>
    <w:rsid w:val="00EF1DFC"/>
    <w:rsid w:val="00F419C1"/>
    <w:rsid w:val="00F43CBD"/>
    <w:rsid w:val="00F74EF7"/>
    <w:rsid w:val="00F954EB"/>
    <w:rsid w:val="00FE3147"/>
    <w:rsid w:val="1DC30F56"/>
    <w:rsid w:val="22CF269F"/>
    <w:rsid w:val="26F97195"/>
    <w:rsid w:val="4E5B5A8D"/>
    <w:rsid w:val="6DEE01CD"/>
    <w:rsid w:val="725E4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kinsoku w:val="0"/>
      <w:autoSpaceDE w:val="0"/>
      <w:autoSpaceDN w:val="0"/>
      <w:adjustRightInd w:val="0"/>
      <w:snapToGrid w:val="0"/>
      <w:spacing w:line="560" w:lineRule="exact"/>
      <w:textAlignment w:val="baseline"/>
    </w:pPr>
    <w:rPr>
      <w:rFonts w:ascii="Arial" w:hAnsi="Arial" w:eastAsia="仿宋" w:cs="Arial"/>
      <w:snapToGrid w:val="0"/>
      <w:color w:val="000000"/>
      <w:sz w:val="28"/>
      <w:szCs w:val="21"/>
      <w:lang w:val="en-US" w:eastAsia="zh-CN" w:bidi="ar-SA"/>
    </w:rPr>
  </w:style>
  <w:style w:type="paragraph" w:styleId="2">
    <w:name w:val="heading 1"/>
    <w:basedOn w:val="1"/>
    <w:next w:val="1"/>
    <w:link w:val="20"/>
    <w:qFormat/>
    <w:uiPriority w:val="9"/>
    <w:pPr>
      <w:keepNext/>
      <w:keepLines/>
      <w:widowControl w:val="0"/>
      <w:shd w:val="clear" w:color="auto" w:fill="auto"/>
      <w:kinsoku/>
      <w:autoSpaceDE/>
      <w:autoSpaceDN/>
      <w:adjustRightInd/>
      <w:spacing w:line="408" w:lineRule="auto"/>
      <w:textAlignment w:val="auto"/>
      <w:outlineLvl w:val="0"/>
    </w:pPr>
    <w:rPr>
      <w:rFonts w:ascii="minorHAnsi" w:hAnsi="minorHAnsi" w:eastAsiaTheme="minorEastAsia" w:cstheme="minorBidi"/>
      <w:b/>
      <w:bCs/>
      <w:snapToGrid/>
      <w:color w:val="1A1A1A"/>
      <w:kern w:val="2"/>
      <w:sz w:val="36"/>
      <w:szCs w:val="36"/>
    </w:rPr>
  </w:style>
  <w:style w:type="paragraph" w:styleId="3">
    <w:name w:val="heading 2"/>
    <w:basedOn w:val="1"/>
    <w:next w:val="1"/>
    <w:link w:val="21"/>
    <w:unhideWhenUsed/>
    <w:qFormat/>
    <w:uiPriority w:val="9"/>
    <w:pPr>
      <w:keepNext/>
      <w:keepLines/>
      <w:widowControl w:val="0"/>
      <w:shd w:val="clear" w:color="auto" w:fill="auto"/>
      <w:kinsoku/>
      <w:autoSpaceDE/>
      <w:autoSpaceDN/>
      <w:adjustRightInd/>
      <w:spacing w:line="408" w:lineRule="auto"/>
      <w:textAlignment w:val="auto"/>
      <w:outlineLvl w:val="1"/>
    </w:pPr>
    <w:rPr>
      <w:rFonts w:ascii="minorHAnsi" w:hAnsi="minorHAnsi" w:eastAsiaTheme="minorEastAsia" w:cstheme="minorBidi"/>
      <w:b/>
      <w:bCs/>
      <w:snapToGrid/>
      <w:color w:val="1A1A1A"/>
      <w:kern w:val="2"/>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pPr>
      <w:widowControl w:val="0"/>
      <w:shd w:val="clear" w:color="auto" w:fill="auto"/>
      <w:kinsoku/>
      <w:autoSpaceDE/>
      <w:autoSpaceDN/>
      <w:adjustRightInd/>
      <w:spacing w:before="60" w:after="60" w:line="312" w:lineRule="auto"/>
      <w:textAlignment w:val="auto"/>
    </w:pPr>
    <w:rPr>
      <w:rFonts w:eastAsia="黑体" w:cs="Calibri"/>
      <w:snapToGrid/>
      <w:color w:val="333333"/>
      <w:kern w:val="2"/>
      <w:sz w:val="21"/>
    </w:rPr>
  </w:style>
  <w:style w:type="paragraph" w:styleId="5">
    <w:name w:val="Body Text"/>
    <w:basedOn w:val="1"/>
    <w:next w:val="6"/>
    <w:link w:val="22"/>
    <w:unhideWhenUsed/>
    <w:qFormat/>
    <w:uiPriority w:val="99"/>
    <w:pPr>
      <w:widowControl w:val="0"/>
      <w:shd w:val="clear" w:color="auto" w:fill="auto"/>
      <w:kinsoku/>
      <w:autoSpaceDE/>
      <w:autoSpaceDN/>
      <w:adjustRightInd/>
      <w:spacing w:before="60" w:after="120" w:line="312" w:lineRule="auto"/>
      <w:textAlignment w:val="auto"/>
    </w:pPr>
    <w:rPr>
      <w:rFonts w:ascii="minorHAnsi" w:hAnsi="minorHAnsi" w:eastAsiaTheme="minorEastAsia" w:cstheme="minorBidi"/>
      <w:snapToGrid/>
      <w:color w:val="333333"/>
      <w:kern w:val="2"/>
      <w:sz w:val="22"/>
      <w:szCs w:val="24"/>
    </w:rPr>
  </w:style>
  <w:style w:type="paragraph" w:customStyle="1" w:styleId="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Date"/>
    <w:basedOn w:val="1"/>
    <w:next w:val="1"/>
    <w:link w:val="23"/>
    <w:semiHidden/>
    <w:unhideWhenUsed/>
    <w:qFormat/>
    <w:uiPriority w:val="99"/>
    <w:pPr>
      <w:widowControl w:val="0"/>
      <w:shd w:val="clear" w:color="auto" w:fill="auto"/>
      <w:kinsoku/>
      <w:autoSpaceDE/>
      <w:autoSpaceDN/>
      <w:adjustRightInd/>
      <w:spacing w:before="60" w:after="60" w:line="312" w:lineRule="auto"/>
      <w:ind w:left="100" w:leftChars="2500"/>
      <w:textAlignment w:val="auto"/>
    </w:pPr>
    <w:rPr>
      <w:rFonts w:ascii="minorHAnsi" w:hAnsi="minorHAnsi" w:eastAsiaTheme="minorEastAsia" w:cstheme="minorBidi"/>
      <w:snapToGrid/>
      <w:color w:val="333333"/>
      <w:kern w:val="2"/>
      <w:sz w:val="22"/>
      <w:szCs w:val="22"/>
    </w:rPr>
  </w:style>
  <w:style w:type="paragraph" w:styleId="8">
    <w:name w:val="footer"/>
    <w:basedOn w:val="1"/>
    <w:link w:val="19"/>
    <w:unhideWhenUsed/>
    <w:qFormat/>
    <w:uiPriority w:val="99"/>
    <w:pPr>
      <w:widowControl w:val="0"/>
      <w:shd w:val="clear" w:color="auto" w:fill="auto"/>
      <w:tabs>
        <w:tab w:val="center" w:pos="4153"/>
        <w:tab w:val="right" w:pos="8306"/>
      </w:tabs>
      <w:kinsoku/>
      <w:autoSpaceDE/>
      <w:autoSpaceDN/>
      <w:adjustRightInd/>
      <w:spacing w:line="240" w:lineRule="auto"/>
      <w:textAlignment w:val="auto"/>
    </w:pPr>
    <w:rPr>
      <w:rFonts w:asciiTheme="minorHAnsi" w:hAnsiTheme="minorHAnsi" w:eastAsiaTheme="minorEastAsia" w:cstheme="minorBidi"/>
      <w:snapToGrid/>
      <w:color w:val="auto"/>
      <w:kern w:val="2"/>
      <w:sz w:val="18"/>
      <w:szCs w:val="18"/>
    </w:rPr>
  </w:style>
  <w:style w:type="paragraph" w:styleId="9">
    <w:name w:val="header"/>
    <w:basedOn w:val="1"/>
    <w:link w:val="18"/>
    <w:semiHidden/>
    <w:unhideWhenUsed/>
    <w:qFormat/>
    <w:uiPriority w:val="99"/>
    <w:pPr>
      <w:widowControl w:val="0"/>
      <w:pBdr>
        <w:bottom w:val="single" w:color="auto" w:sz="6" w:space="1"/>
      </w:pBdr>
      <w:shd w:val="clear" w:color="auto" w:fill="auto"/>
      <w:tabs>
        <w:tab w:val="center" w:pos="4153"/>
        <w:tab w:val="right" w:pos="8306"/>
      </w:tabs>
      <w:kinsoku/>
      <w:autoSpaceDE/>
      <w:autoSpaceDN/>
      <w:adjustRightInd/>
      <w:spacing w:line="240" w:lineRule="auto"/>
      <w:jc w:val="center"/>
      <w:textAlignment w:val="auto"/>
    </w:pPr>
    <w:rPr>
      <w:rFonts w:asciiTheme="minorHAnsi" w:hAnsiTheme="minorHAnsi" w:eastAsiaTheme="minorEastAsia" w:cstheme="minorBidi"/>
      <w:snapToGrid/>
      <w:color w:val="auto"/>
      <w:kern w:val="2"/>
      <w:sz w:val="18"/>
      <w:szCs w:val="18"/>
    </w:rPr>
  </w:style>
  <w:style w:type="paragraph" w:styleId="10">
    <w:name w:val="toc 1"/>
    <w:basedOn w:val="1"/>
    <w:next w:val="1"/>
    <w:autoRedefine/>
    <w:unhideWhenUsed/>
    <w:qFormat/>
    <w:uiPriority w:val="39"/>
    <w:pPr>
      <w:widowControl w:val="0"/>
      <w:shd w:val="clear" w:color="auto" w:fill="auto"/>
      <w:kinsoku/>
      <w:autoSpaceDE/>
      <w:autoSpaceDN/>
      <w:adjustRightInd/>
      <w:spacing w:before="60" w:after="60" w:line="312" w:lineRule="auto"/>
      <w:textAlignment w:val="auto"/>
    </w:pPr>
    <w:rPr>
      <w:rFonts w:ascii="minorHAnsi" w:hAnsi="minorHAnsi" w:eastAsiaTheme="minorEastAsia" w:cstheme="minorBidi"/>
      <w:snapToGrid/>
      <w:color w:val="333333"/>
      <w:kern w:val="2"/>
      <w:sz w:val="22"/>
      <w:szCs w:val="22"/>
    </w:rPr>
  </w:style>
  <w:style w:type="paragraph" w:styleId="11">
    <w:name w:val="toc 2"/>
    <w:basedOn w:val="1"/>
    <w:next w:val="1"/>
    <w:autoRedefine/>
    <w:unhideWhenUsed/>
    <w:qFormat/>
    <w:uiPriority w:val="39"/>
    <w:pPr>
      <w:widowControl w:val="0"/>
      <w:shd w:val="clear" w:color="auto" w:fill="auto"/>
      <w:kinsoku/>
      <w:autoSpaceDE/>
      <w:autoSpaceDN/>
      <w:adjustRightInd/>
      <w:spacing w:before="60" w:after="60" w:line="312" w:lineRule="auto"/>
      <w:ind w:left="420" w:leftChars="200"/>
      <w:textAlignment w:val="auto"/>
    </w:pPr>
    <w:rPr>
      <w:rFonts w:ascii="minorHAnsi" w:hAnsi="minorHAnsi" w:eastAsiaTheme="minorEastAsia" w:cstheme="minorBidi"/>
      <w:snapToGrid/>
      <w:color w:val="333333"/>
      <w:kern w:val="2"/>
      <w:sz w:val="22"/>
      <w:szCs w:val="22"/>
    </w:rPr>
  </w:style>
  <w:style w:type="paragraph" w:styleId="12">
    <w:name w:val="Title"/>
    <w:basedOn w:val="1"/>
    <w:next w:val="1"/>
    <w:link w:val="24"/>
    <w:qFormat/>
    <w:uiPriority w:val="10"/>
    <w:pPr>
      <w:keepNext/>
      <w:keepLines/>
      <w:widowControl w:val="0"/>
      <w:shd w:val="clear" w:color="auto" w:fill="auto"/>
      <w:kinsoku/>
      <w:autoSpaceDE/>
      <w:autoSpaceDN/>
      <w:adjustRightInd/>
      <w:spacing w:line="408" w:lineRule="auto"/>
      <w:jc w:val="center"/>
      <w:textAlignment w:val="auto"/>
      <w:outlineLvl w:val="0"/>
    </w:pPr>
    <w:rPr>
      <w:rFonts w:ascii="minorHAnsi" w:hAnsi="minorHAnsi" w:eastAsiaTheme="minorEastAsia" w:cstheme="minorBidi"/>
      <w:b/>
      <w:bCs/>
      <w:snapToGrid/>
      <w:color w:val="1A1A1A"/>
      <w:kern w:val="2"/>
      <w:sz w:val="48"/>
      <w:szCs w:val="48"/>
    </w:rPr>
  </w:style>
  <w:style w:type="paragraph" w:styleId="13">
    <w:name w:val="Body Text First Indent"/>
    <w:basedOn w:val="5"/>
    <w:link w:val="25"/>
    <w:qFormat/>
    <w:uiPriority w:val="0"/>
    <w:pPr>
      <w:spacing w:line="360" w:lineRule="auto"/>
      <w:ind w:firstLine="420" w:firstLineChars="100"/>
    </w:pPr>
    <w:rPr>
      <w:rFonts w:ascii="微软雅黑" w:hAnsi="微软雅黑" w:eastAsia="微软雅黑" w:cs="微软雅黑"/>
      <w:sz w:val="21"/>
      <w:szCs w:val="21"/>
    </w:rPr>
  </w:style>
  <w:style w:type="table" w:styleId="15">
    <w:name w:val="Table Grid"/>
    <w:basedOn w:val="14"/>
    <w:qFormat/>
    <w:uiPriority w:val="39"/>
    <w:rPr>
      <w:rFonts w:ascii="Times New Roman" w:hAnsi="Times New Roman" w:eastAsia="宋体" w:cs="Times New Roman"/>
    </w:rPr>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眉 Char"/>
    <w:basedOn w:val="16"/>
    <w:link w:val="9"/>
    <w:semiHidden/>
    <w:qFormat/>
    <w:uiPriority w:val="99"/>
    <w:rPr>
      <w:sz w:val="18"/>
      <w:szCs w:val="18"/>
    </w:rPr>
  </w:style>
  <w:style w:type="character" w:customStyle="1" w:styleId="19">
    <w:name w:val="页脚 Char"/>
    <w:basedOn w:val="16"/>
    <w:link w:val="8"/>
    <w:qFormat/>
    <w:uiPriority w:val="99"/>
    <w:rPr>
      <w:sz w:val="18"/>
      <w:szCs w:val="18"/>
    </w:rPr>
  </w:style>
  <w:style w:type="character" w:customStyle="1" w:styleId="20">
    <w:name w:val="标题 1 Char"/>
    <w:basedOn w:val="16"/>
    <w:link w:val="2"/>
    <w:uiPriority w:val="9"/>
    <w:rPr>
      <w:rFonts w:ascii="minorHAnsi" w:hAnsi="minorHAnsi"/>
      <w:b/>
      <w:bCs/>
      <w:color w:val="1A1A1A"/>
      <w:kern w:val="2"/>
      <w:sz w:val="36"/>
      <w:szCs w:val="36"/>
    </w:rPr>
  </w:style>
  <w:style w:type="character" w:customStyle="1" w:styleId="21">
    <w:name w:val="标题 2 Char"/>
    <w:basedOn w:val="16"/>
    <w:link w:val="3"/>
    <w:qFormat/>
    <w:uiPriority w:val="9"/>
    <w:rPr>
      <w:rFonts w:ascii="minorHAnsi" w:hAnsi="minorHAnsi"/>
      <w:b/>
      <w:bCs/>
      <w:color w:val="1A1A1A"/>
      <w:kern w:val="2"/>
      <w:sz w:val="32"/>
      <w:szCs w:val="32"/>
    </w:rPr>
  </w:style>
  <w:style w:type="character" w:customStyle="1" w:styleId="22">
    <w:name w:val="正文文本 Char"/>
    <w:basedOn w:val="16"/>
    <w:link w:val="5"/>
    <w:qFormat/>
    <w:uiPriority w:val="99"/>
    <w:rPr>
      <w:rFonts w:ascii="minorHAnsi" w:hAnsi="minorHAnsi"/>
      <w:color w:val="333333"/>
      <w:kern w:val="2"/>
      <w:sz w:val="22"/>
      <w:szCs w:val="24"/>
    </w:rPr>
  </w:style>
  <w:style w:type="character" w:customStyle="1" w:styleId="23">
    <w:name w:val="日期 Char"/>
    <w:basedOn w:val="16"/>
    <w:link w:val="7"/>
    <w:semiHidden/>
    <w:qFormat/>
    <w:uiPriority w:val="99"/>
    <w:rPr>
      <w:rFonts w:ascii="minorHAnsi" w:hAnsi="minorHAnsi"/>
      <w:color w:val="333333"/>
      <w:kern w:val="2"/>
      <w:sz w:val="22"/>
      <w:szCs w:val="22"/>
    </w:rPr>
  </w:style>
  <w:style w:type="character" w:customStyle="1" w:styleId="24">
    <w:name w:val="标题 Char"/>
    <w:basedOn w:val="16"/>
    <w:link w:val="12"/>
    <w:qFormat/>
    <w:uiPriority w:val="10"/>
    <w:rPr>
      <w:rFonts w:ascii="minorHAnsi" w:hAnsi="minorHAnsi"/>
      <w:b/>
      <w:bCs/>
      <w:color w:val="1A1A1A"/>
      <w:kern w:val="2"/>
      <w:sz w:val="48"/>
      <w:szCs w:val="48"/>
    </w:rPr>
  </w:style>
  <w:style w:type="character" w:customStyle="1" w:styleId="25">
    <w:name w:val="正文首行缩进 Char"/>
    <w:basedOn w:val="22"/>
    <w:link w:val="13"/>
    <w:qFormat/>
    <w:uiPriority w:val="0"/>
    <w:rPr>
      <w:rFonts w:ascii="微软雅黑" w:hAnsi="微软雅黑" w:eastAsia="微软雅黑" w:cs="微软雅黑"/>
      <w:sz w:val="21"/>
      <w:szCs w:val="21"/>
    </w:rPr>
  </w:style>
  <w:style w:type="paragraph" w:styleId="26">
    <w:name w:val="List Paragraph"/>
    <w:basedOn w:val="1"/>
    <w:qFormat/>
    <w:uiPriority w:val="34"/>
    <w:pPr>
      <w:widowControl w:val="0"/>
      <w:shd w:val="clear" w:color="auto" w:fill="auto"/>
      <w:kinsoku/>
      <w:autoSpaceDE/>
      <w:autoSpaceDN/>
      <w:adjustRightInd/>
      <w:spacing w:before="60" w:after="60" w:line="312" w:lineRule="auto"/>
      <w:ind w:firstLine="420" w:firstLineChars="200"/>
      <w:textAlignment w:val="auto"/>
    </w:pPr>
    <w:rPr>
      <w:rFonts w:ascii="minorHAnsi" w:hAnsi="minorHAnsi" w:eastAsiaTheme="minorEastAsia" w:cstheme="minorBidi"/>
      <w:snapToGrid/>
      <w:color w:val="333333"/>
      <w:kern w:val="2"/>
      <w:sz w:val="22"/>
      <w:szCs w:val="22"/>
    </w:rPr>
  </w:style>
  <w:style w:type="paragraph" w:styleId="27">
    <w:name w:val="No Spacing"/>
    <w:qFormat/>
    <w:uiPriority w:val="1"/>
    <w:pPr>
      <w:widowControl w:val="0"/>
      <w:snapToGrid w:val="0"/>
    </w:pPr>
    <w:rPr>
      <w:rFonts w:ascii="minorHAnsi" w:hAnsi="minorHAnsi" w:eastAsiaTheme="minorEastAsia" w:cstheme="minorBidi"/>
      <w:color w:val="333333"/>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9827</Words>
  <Characters>10337</Characters>
  <Lines>108</Lines>
  <Paragraphs>30</Paragraphs>
  <TotalTime>55</TotalTime>
  <ScaleCrop>false</ScaleCrop>
  <LinksUpToDate>false</LinksUpToDate>
  <CharactersWithSpaces>10534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2024-08-20T17:28:00Z</dcterms:created>
  <dc:creator>马重杰</dc:creator>
  <cp:lastModifiedBy>王运达</cp:lastModifiedBy>
  <cp:lastPrinted>2025-06-25T08:17:00Z</cp:lastPrinted>
  <dcterms:modified xsi:type="dcterms:W3CDTF">2025-09-01T07:28:47Z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eyJoZGlkIjoiYWU5YTdlZTVhMTJmMWY0MGNmZTgwZTJlNGI1NWYyYzUiLCJ1c2VySWQiOiIxNjkyMzY0NTI0In0=</vt:lpwstr>
  </property>
  <property fmtid="{D5CDD505-2E9C-101B-9397-08002B2CF9AE}" pid="3" name="KSOProductBuildVer">
    <vt:lpwstr>2052-12.1.0.18276</vt:lpwstr>
  </property>
  <property fmtid="{D5CDD505-2E9C-101B-9397-08002B2CF9AE}" pid="4" name="ICV">
    <vt:lpwstr>48080D84ECD94A5C91200E88C930C451_13</vt:lpwstr>
  </property>
</Properties>
</file>